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9A26173" w14:textId="77777777" w:rsidR="00795FC6" w:rsidRDefault="00795FC6" w:rsidP="00D73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45156B">
        <w:rPr>
          <w:rFonts w:ascii="Arial" w:hAnsi="Arial" w:cs="Arial"/>
          <w:b/>
          <w:color w:val="000000" w:themeColor="text1"/>
          <w:sz w:val="26"/>
          <w:szCs w:val="26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15816B0C" w14:textId="63DD4A82" w:rsidR="00795FC6" w:rsidRPr="002B50C0" w:rsidRDefault="00795FC6" w:rsidP="00795FC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76042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BC46D1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8B269" w14:textId="77777777" w:rsidR="00795FC6" w:rsidRPr="0045156B" w:rsidRDefault="00795FC6" w:rsidP="00795FC6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 xml:space="preserve">„Budowa węzłów bezpieczeństwa szkolnego ruchu internetowego Ogólnopolskiej Sieci Edukacyjnej”. </w:t>
            </w:r>
          </w:p>
          <w:p w14:paraId="3AA107CE" w14:textId="7C114C32" w:rsidR="00CA516B" w:rsidRPr="002B50C0" w:rsidRDefault="00795FC6" w:rsidP="00795FC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45156B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</w:rPr>
              <w:t>Akronim projektu: OSE-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2DA4FED" w:rsidR="00CA516B" w:rsidRPr="00141A92" w:rsidRDefault="00795FC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682319E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  <w:r w:rsidR="00795FC6" w:rsidRPr="007E3634">
              <w:rPr>
                <w:rFonts w:ascii="Arial" w:hAnsi="Arial" w:cs="Arial"/>
                <w:color w:val="000000" w:themeColor="text1"/>
                <w:sz w:val="18"/>
                <w:szCs w:val="18"/>
              </w:rPr>
              <w:t>Naukowa i Akademicka Sieć Komputerowa-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71AA057" w:rsidR="00CA516B" w:rsidRPr="00795FC6" w:rsidRDefault="00795FC6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proofErr w:type="spellStart"/>
            <w:r w:rsidRPr="00795FC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n.d</w:t>
            </w:r>
            <w:proofErr w:type="spellEnd"/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8DB14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Unijne: Program Operacyjny Polska Cyfrowa: </w:t>
            </w:r>
          </w:p>
          <w:p w14:paraId="1A5934BE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</w:p>
          <w:p w14:paraId="6B492E22" w14:textId="77777777" w:rsidR="00795FC6" w:rsidRPr="00795FC6" w:rsidRDefault="00795FC6" w:rsidP="00795FC6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Działanie: 1.1 Wyeliminowanie terytorialnych różnic w możliwości dostępu do szerokopasmowego </w:t>
            </w:r>
            <w:proofErr w:type="spellStart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internetu</w:t>
            </w:r>
            <w:proofErr w:type="spellEnd"/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 wysokich przepustowościach</w:t>
            </w:r>
          </w:p>
          <w:p w14:paraId="55582688" w14:textId="717BB886" w:rsidR="00CA516B" w:rsidRPr="00141A92" w:rsidRDefault="00795FC6" w:rsidP="00795FC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95FC6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(cz. 27- Informatyzacja)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80C75EF" w:rsidR="00CA516B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DAAF426" w:rsidR="005212C8" w:rsidRPr="00141A92" w:rsidRDefault="00DE03F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4323">
              <w:rPr>
                <w:rFonts w:ascii="Arial" w:hAnsi="Arial" w:cs="Arial"/>
                <w:color w:val="000000" w:themeColor="text1"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CE174" w14:textId="77777777" w:rsidR="00CA516B" w:rsidRPr="00A9015C" w:rsidRDefault="00DE03F5" w:rsidP="00DE03F5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</w:pP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01.01.2018 r. do  31.12.202</w:t>
            </w:r>
            <w:r w:rsidR="00975085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 xml:space="preserve"> r.</w:t>
            </w:r>
            <w:r w:rsidR="008620B2" w:rsidRPr="00A9015C">
              <w:rPr>
                <w:rFonts w:ascii="Arial" w:hAnsi="Arial" w:cs="Arial"/>
                <w:b/>
                <w:bCs/>
                <w:iCs/>
                <w:color w:val="000000" w:themeColor="text1"/>
                <w:sz w:val="18"/>
                <w:szCs w:val="18"/>
              </w:rPr>
              <w:t>*</w:t>
            </w:r>
          </w:p>
          <w:p w14:paraId="55CE9679" w14:textId="25060717" w:rsidR="00A9015C" w:rsidRPr="00DE03F5" w:rsidRDefault="00A9015C" w:rsidP="00DE03F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01.01.2018 r. do 31.12.202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0</w:t>
            </w:r>
            <w:r w:rsidRPr="00A9015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r. – pierwotny okres realizacji projektu.</w:t>
            </w:r>
          </w:p>
        </w:tc>
      </w:tr>
    </w:tbl>
    <w:p w14:paraId="1CD2BD71" w14:textId="77777777" w:rsidR="008620B2" w:rsidRDefault="008620B2" w:rsidP="008620B2">
      <w:pPr>
        <w:spacing w:line="276" w:lineRule="auto"/>
        <w:rPr>
          <w:rFonts w:ascii="Arial" w:hAnsi="Arial" w:cs="Arial"/>
          <w:sz w:val="18"/>
          <w:szCs w:val="18"/>
        </w:rPr>
      </w:pPr>
    </w:p>
    <w:p w14:paraId="12D20300" w14:textId="3BF3B89F" w:rsidR="008620B2" w:rsidRPr="008620B2" w:rsidRDefault="008620B2" w:rsidP="008620B2">
      <w:pPr>
        <w:spacing w:line="276" w:lineRule="auto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A9015C">
        <w:rPr>
          <w:rFonts w:ascii="Arial" w:hAnsi="Arial" w:cs="Arial"/>
          <w:b/>
          <w:bCs/>
          <w:sz w:val="18"/>
          <w:szCs w:val="18"/>
        </w:rPr>
        <w:t>*</w:t>
      </w:r>
      <w:r w:rsidRPr="008620B2">
        <w:rPr>
          <w:rFonts w:ascii="Arial" w:hAnsi="Arial" w:cs="Arial"/>
          <w:sz w:val="18"/>
          <w:szCs w:val="18"/>
        </w:rPr>
        <w:t xml:space="preserve">Zgodnie z </w:t>
      </w:r>
      <w:r>
        <w:rPr>
          <w:rFonts w:ascii="Arial" w:hAnsi="Arial" w:cs="Arial"/>
          <w:sz w:val="18"/>
          <w:szCs w:val="18"/>
        </w:rPr>
        <w:t xml:space="preserve">podpisanym w dniu 06.11.2020 r. aneksem do umowy o dofinansowanie realizacji projektu pn. </w:t>
      </w:r>
      <w:r w:rsidRPr="008620B2">
        <w:rPr>
          <w:rFonts w:ascii="Arial" w:hAnsi="Arial" w:cs="Arial"/>
          <w:i/>
          <w:iCs/>
          <w:sz w:val="18"/>
          <w:szCs w:val="18"/>
        </w:rPr>
        <w:t>„Budowa węzłów bezpieczeństwa szkolnego ruchu internetowego Ogólnopolskiej Sieci Edukacyjnej”</w:t>
      </w:r>
      <w:r w:rsidRPr="008620B2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>
        <w:rPr>
          <w:rFonts w:ascii="Arial" w:hAnsi="Arial" w:cs="Arial"/>
          <w:sz w:val="18"/>
          <w:szCs w:val="18"/>
        </w:rPr>
        <w:t>została m.in. przedłużona data realizacji projektu do 31.12.202</w:t>
      </w:r>
      <w:r w:rsidR="005E32AB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r. </w:t>
      </w:r>
    </w:p>
    <w:p w14:paraId="30071234" w14:textId="1DC9CCBA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1904E79" w14:textId="77777777" w:rsidR="007754CE" w:rsidRDefault="004C1D48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7754CE" w:rsidRPr="0019199E">
        <w:rPr>
          <w:rFonts w:ascii="Arial" w:hAnsi="Arial" w:cs="Arial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681F3EE0" w14:textId="77777777" w:rsidR="007754CE" w:rsidRPr="0019199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BC0170" w14:textId="5E4DC33C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9199E">
        <w:rPr>
          <w:rFonts w:ascii="Arial" w:hAnsi="Arial" w:cs="Arial"/>
          <w:sz w:val="18"/>
          <w:szCs w:val="18"/>
        </w:rPr>
        <w:t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współfinansowanych ze środków działania 1.1 POPC.</w:t>
      </w:r>
    </w:p>
    <w:p w14:paraId="6847C39D" w14:textId="77777777" w:rsidR="00E8361B" w:rsidRDefault="00E8361B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D523C5F" w14:textId="77777777" w:rsidR="007754CE" w:rsidRDefault="007754CE" w:rsidP="007754C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47B986C" w14:textId="6F23AE6B" w:rsidR="003C7325" w:rsidRPr="00141A92" w:rsidRDefault="00E35401" w:rsidP="002C2E33">
      <w:pPr>
        <w:pStyle w:val="Nagwek3"/>
        <w:numPr>
          <w:ilvl w:val="0"/>
          <w:numId w:val="19"/>
        </w:numPr>
        <w:spacing w:after="360"/>
        <w:rPr>
          <w:rFonts w:ascii="Arial" w:eastAsiaTheme="minorHAnsi" w:hAnsi="Arial" w:cs="Arial"/>
          <w:b/>
          <w:i/>
          <w:color w:val="auto"/>
        </w:rPr>
      </w:pPr>
      <w:r w:rsidRPr="00141A92">
        <w:rPr>
          <w:rFonts w:ascii="Arial" w:hAnsi="Arial" w:cs="Arial"/>
          <w:b/>
          <w:color w:val="auto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</w:rPr>
        <w:t xml:space="preserve"> </w:t>
      </w:r>
      <w:r w:rsidRPr="00141A92">
        <w:rPr>
          <w:rFonts w:ascii="Arial" w:hAnsi="Arial" w:cs="Arial"/>
          <w:b/>
          <w:color w:val="auto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A58B385" w:rsidR="00907F6D" w:rsidRPr="00D612EE" w:rsidRDefault="00AF3EC0" w:rsidP="00D612EE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8</w:t>
            </w:r>
            <w:r w:rsidR="00BB1C41" w:rsidRPr="00D612EE">
              <w:rPr>
                <w:rFonts w:ascii="Arial" w:hAnsi="Arial" w:cs="Arial"/>
                <w:sz w:val="18"/>
                <w:szCs w:val="20"/>
              </w:rPr>
              <w:t>7,50</w:t>
            </w:r>
            <w:r w:rsidR="000A5F71" w:rsidRPr="00D612EE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62B4DDE" w14:textId="37EBDD2B" w:rsidR="00065122" w:rsidRPr="00D612EE" w:rsidRDefault="00BB1C41" w:rsidP="00D612EE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26,74</w:t>
            </w:r>
            <w:r w:rsidR="00065122" w:rsidRPr="00D612E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1811DF1B" w14:textId="6E908B2B" w:rsidR="00907F6D" w:rsidRPr="00D612EE" w:rsidRDefault="0034382B" w:rsidP="00D612EE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1</w:t>
            </w:r>
            <w:r w:rsidR="00BB1C41" w:rsidRPr="00D612EE">
              <w:rPr>
                <w:rFonts w:ascii="Arial" w:hAnsi="Arial" w:cs="Arial"/>
                <w:sz w:val="18"/>
                <w:szCs w:val="20"/>
              </w:rPr>
              <w:t>6,66</w:t>
            </w:r>
            <w:r w:rsidR="00146E6D" w:rsidRPr="00D612E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8F530DD" w14:textId="77777777" w:rsidR="00146E6D" w:rsidRPr="000A5F71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3F28A48D" w:rsidR="00146E6D" w:rsidRPr="000A5F71" w:rsidRDefault="00146E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F4D3881" w:rsidR="00907F6D" w:rsidRPr="00D612EE" w:rsidRDefault="00026AE0" w:rsidP="00D612EE">
            <w:pPr>
              <w:pStyle w:val="Akapitzlist"/>
              <w:numPr>
                <w:ilvl w:val="0"/>
                <w:numId w:val="37"/>
              </w:num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83,53</w:t>
            </w:r>
            <w:r w:rsidR="00AA28B6" w:rsidRPr="00D612E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829" w:rsidRPr="00D612E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5A7EC0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7B53AA84" w14:textId="77777777" w:rsidR="002C2E33" w:rsidRPr="00B14323" w:rsidRDefault="002C2E33" w:rsidP="002C2E33">
      <w:pPr>
        <w:pStyle w:val="Akapitzlist"/>
        <w:spacing w:after="120" w:line="240" w:lineRule="auto"/>
        <w:ind w:left="360"/>
        <w:rPr>
          <w:rFonts w:ascii="Arial" w:hAnsi="Arial" w:cs="Arial"/>
          <w:b/>
          <w:sz w:val="20"/>
          <w:szCs w:val="20"/>
        </w:rPr>
      </w:pPr>
      <w:r w:rsidRPr="00B14323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2C2E33" w:rsidRPr="002B50C0" w14:paraId="0506E200" w14:textId="77777777" w:rsidTr="00D7397A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53C18B9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3148FE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06E129F3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0712F605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7D74CDC4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C2E33" w:rsidRPr="002B50C0" w14:paraId="4F000B60" w14:textId="77777777" w:rsidTr="00D7397A">
        <w:tc>
          <w:tcPr>
            <w:tcW w:w="2066" w:type="dxa"/>
          </w:tcPr>
          <w:p w14:paraId="23DFC72E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>Przygotowanie projektu potwierdzone Przygotowanie projektu potwierdzone zaakceptowaną do realizacji koncepcją OSE</w:t>
            </w:r>
          </w:p>
          <w:p w14:paraId="7418CEF9" w14:textId="19927D5B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1067" w14:textId="77777777" w:rsidR="002C2E33" w:rsidRPr="00141A92" w:rsidRDefault="002C2E33" w:rsidP="00D739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1A8739A1" w14:textId="77777777" w:rsidR="002C2E33" w:rsidRPr="00612C01" w:rsidRDefault="002C2E33" w:rsidP="00D7397A">
            <w:r>
              <w:t>01-</w:t>
            </w:r>
            <w:r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50BA92DB" w14:textId="77777777" w:rsidR="002C2E33" w:rsidRPr="00612C01" w:rsidRDefault="002C2E33" w:rsidP="00D7397A">
            <w:pPr>
              <w:pStyle w:val="Akapitzlist"/>
              <w:ind w:left="7"/>
            </w:pPr>
            <w:r>
              <w:t>01-2018</w:t>
            </w:r>
          </w:p>
        </w:tc>
        <w:tc>
          <w:tcPr>
            <w:tcW w:w="2642" w:type="dxa"/>
          </w:tcPr>
          <w:p w14:paraId="20A0AC55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2DB0CD14" w14:textId="77777777" w:rsidTr="00D7397A">
        <w:tc>
          <w:tcPr>
            <w:tcW w:w="2066" w:type="dxa"/>
          </w:tcPr>
          <w:p w14:paraId="352F454A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4FC13B30" w14:textId="5AE8EF40" w:rsidR="00F17B97" w:rsidRPr="0053041B" w:rsidRDefault="00F17B97" w:rsidP="00D739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8E0F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3A3EA553" w14:textId="77777777" w:rsidR="002C2E33" w:rsidRPr="001B6667" w:rsidRDefault="002C2E33" w:rsidP="00D7397A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Pr="001917E4">
              <w:t>2018</w:t>
            </w:r>
          </w:p>
        </w:tc>
        <w:tc>
          <w:tcPr>
            <w:tcW w:w="1876" w:type="dxa"/>
          </w:tcPr>
          <w:p w14:paraId="10592CC2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816CC84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2C2E33" w:rsidRPr="002B50C0" w14:paraId="63A2E79C" w14:textId="77777777" w:rsidTr="00D7397A">
        <w:tc>
          <w:tcPr>
            <w:tcW w:w="2066" w:type="dxa"/>
          </w:tcPr>
          <w:p w14:paraId="72B84C0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9D1F5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62087201" w14:textId="77777777" w:rsidR="002C2E33" w:rsidRPr="001917E4" w:rsidRDefault="002C2E33" w:rsidP="00D7397A">
            <w:r>
              <w:t>07-2018</w:t>
            </w:r>
          </w:p>
        </w:tc>
        <w:tc>
          <w:tcPr>
            <w:tcW w:w="1876" w:type="dxa"/>
          </w:tcPr>
          <w:p w14:paraId="790A6D92" w14:textId="77777777" w:rsidR="002C2E33" w:rsidRPr="00E610AD" w:rsidRDefault="002C2E33" w:rsidP="00D7397A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09-2018</w:t>
            </w:r>
          </w:p>
        </w:tc>
        <w:tc>
          <w:tcPr>
            <w:tcW w:w="2642" w:type="dxa"/>
          </w:tcPr>
          <w:p w14:paraId="201A78BF" w14:textId="77777777" w:rsidR="002C2E33" w:rsidRPr="000A5F71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0A5F71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96F0DC" w14:textId="77777777" w:rsidR="002C2E33" w:rsidRPr="00A00D7A" w:rsidRDefault="002C2E33" w:rsidP="00D7397A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2C2E33" w:rsidRPr="002B50C0" w14:paraId="209641CF" w14:textId="77777777" w:rsidTr="0096439F">
        <w:trPr>
          <w:trHeight w:val="6657"/>
        </w:trPr>
        <w:tc>
          <w:tcPr>
            <w:tcW w:w="2066" w:type="dxa"/>
          </w:tcPr>
          <w:p w14:paraId="7B9C34A5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8A24" w14:textId="30C07C40" w:rsidR="002C2E33" w:rsidRPr="00CC4B51" w:rsidRDefault="0098024D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I </w:t>
            </w:r>
            <w:r w:rsidR="00F17B9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6A49A4">
              <w:rPr>
                <w:rFonts w:ascii="Arial" w:hAnsi="Arial" w:cs="Arial"/>
                <w:sz w:val="18"/>
                <w:szCs w:val="18"/>
              </w:rPr>
              <w:t>9</w:t>
            </w:r>
            <w:r w:rsidR="006A49A4" w:rsidRPr="00CC4B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2E33" w:rsidRPr="00CC4B5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578" w:type="dxa"/>
          </w:tcPr>
          <w:p w14:paraId="3A6C45A5" w14:textId="2404EAE7" w:rsidR="002C2E33" w:rsidRPr="00CC4B51" w:rsidRDefault="00E0449D" w:rsidP="00C857FB">
            <w:pPr>
              <w:spacing w:line="276" w:lineRule="auto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  <w:r w:rsidR="00D97321">
              <w:rPr>
                <w:rFonts w:cs="Arial"/>
                <w:color w:val="000000" w:themeColor="text1"/>
                <w:lang w:eastAsia="pl-PL"/>
              </w:rPr>
              <w:t>05</w:t>
            </w:r>
            <w:r w:rsidR="002C2E33" w:rsidRPr="00CC4B51">
              <w:rPr>
                <w:rFonts w:cs="Arial"/>
                <w:color w:val="000000" w:themeColor="text1"/>
                <w:lang w:eastAsia="pl-PL"/>
              </w:rPr>
              <w:t>-20</w:t>
            </w:r>
            <w:r w:rsidR="00D97321">
              <w:rPr>
                <w:rFonts w:cs="Arial"/>
                <w:color w:val="000000" w:themeColor="text1"/>
                <w:lang w:eastAsia="pl-PL"/>
              </w:rPr>
              <w:t>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876" w:type="dxa"/>
          </w:tcPr>
          <w:p w14:paraId="66B8981E" w14:textId="2AE0D0F3" w:rsidR="002C2E33" w:rsidRPr="00757B35" w:rsidRDefault="00244DDA" w:rsidP="0033590A">
            <w:pPr>
              <w:spacing w:line="276" w:lineRule="auto"/>
              <w:rPr>
                <w:rFonts w:cs="Arial"/>
                <w:color w:val="0070C0"/>
                <w:lang w:eastAsia="pl-PL"/>
              </w:rPr>
            </w:pPr>
            <w:r w:rsidRPr="0033590A">
              <w:rPr>
                <w:rFonts w:cs="Arial"/>
                <w:color w:val="000000" w:themeColor="text1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74F2C5AC" w14:textId="387DAA76" w:rsidR="002C2E33" w:rsidRPr="009B414C" w:rsidRDefault="00097162" w:rsidP="0009716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97162">
              <w:rPr>
                <w:rFonts w:cs="Arial"/>
                <w:color w:val="000000" w:themeColor="text1"/>
                <w:lang w:eastAsia="pl-PL"/>
              </w:rPr>
              <w:t>osiągnięto</w:t>
            </w:r>
          </w:p>
        </w:tc>
      </w:tr>
      <w:tr w:rsidR="002C2E33" w:rsidRPr="002B50C0" w14:paraId="1A7ED171" w14:textId="77777777" w:rsidTr="00D7397A">
        <w:tc>
          <w:tcPr>
            <w:tcW w:w="2066" w:type="dxa"/>
          </w:tcPr>
          <w:p w14:paraId="3F677273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6DDB" w14:textId="33437014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C5ABFF1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EE960B9" w14:textId="4037F3A8" w:rsidR="00FD2D71" w:rsidRPr="00612C01" w:rsidRDefault="00FD2D71" w:rsidP="00D7397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7A305DEA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23321821" w14:textId="77777777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C9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2ABB1C5D" w14:textId="67BA6570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3D481A7" w14:textId="17A29EC5" w:rsidR="00753AB6" w:rsidRPr="00B16EC3" w:rsidRDefault="00753AB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przeprowadzonym dialogu technicznym zostało wszczęte postępowanie zakupowe. </w:t>
            </w:r>
            <w:r w:rsidR="00CC3AB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jego efekcie </w:t>
            </w:r>
            <w:r w:rsidR="006A73D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wyłoniono wykonawcę, z którym </w:t>
            </w:r>
            <w:r w:rsidR="00CC3AB0">
              <w:rPr>
                <w:rFonts w:ascii="Arial" w:hAnsi="Arial" w:cs="Arial"/>
                <w:color w:val="000000" w:themeColor="text1"/>
                <w:sz w:val="18"/>
                <w:szCs w:val="18"/>
              </w:rPr>
              <w:t>podpisano umowę, a następnie rozpoczęto jej realizację.</w:t>
            </w:r>
          </w:p>
        </w:tc>
      </w:tr>
      <w:tr w:rsidR="002C2E33" w:rsidRPr="002B50C0" w14:paraId="341A849E" w14:textId="77777777" w:rsidTr="00D7397A">
        <w:tc>
          <w:tcPr>
            <w:tcW w:w="2066" w:type="dxa"/>
          </w:tcPr>
          <w:p w14:paraId="0E359380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858DC" w14:textId="63CE20ED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4 – </w:t>
            </w:r>
            <w:r w:rsidR="00F11A4F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26A08ACF" w14:textId="77777777" w:rsidR="002C2E33" w:rsidRDefault="00D97321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</w:t>
            </w:r>
            <w:r w:rsidR="002C2E33">
              <w:rPr>
                <w:rFonts w:cs="Arial"/>
                <w:color w:val="000000" w:themeColor="text1"/>
                <w:lang w:eastAsia="pl-PL"/>
              </w:rPr>
              <w:t>-</w:t>
            </w:r>
            <w:r w:rsidR="002C2E33"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1625D514" w14:textId="2DFD5570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446C1BFC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027A6379" w14:textId="77777777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A6C92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  <w:p w14:paraId="1FA2C4FA" w14:textId="0EC9DD76" w:rsidR="002C2E3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46D307" w14:textId="20D95A61" w:rsidR="00753AB6" w:rsidRPr="00B16EC3" w:rsidRDefault="00753AB6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przeprowadzonym dialogu technicznym zostało wszczęte postępowanie zakupowe, które nie zakończyło się wybraniem najkorzystniejszej oferty ze względu na błędy w złożonych ofertach skutkujące ich odrzuceniem. Postępowanie zakupowe zostało ogłoszone powtórnie. </w:t>
            </w:r>
            <w:r w:rsidR="006A73DB">
              <w:rPr>
                <w:rFonts w:ascii="Arial" w:hAnsi="Arial" w:cs="Arial"/>
                <w:color w:val="000000" w:themeColor="text1"/>
                <w:sz w:val="18"/>
                <w:szCs w:val="18"/>
              </w:rPr>
              <w:t>W jego efekcie wyłoniono wykonawcę, z którym podpisano umowę, a następnie rozpoczęto jej realizację.</w:t>
            </w:r>
          </w:p>
        </w:tc>
      </w:tr>
      <w:tr w:rsidR="002C2E33" w:rsidRPr="002B50C0" w14:paraId="76ACF0F6" w14:textId="77777777" w:rsidTr="00D7397A">
        <w:tc>
          <w:tcPr>
            <w:tcW w:w="2066" w:type="dxa"/>
          </w:tcPr>
          <w:p w14:paraId="785E8068" w14:textId="77777777" w:rsidR="002C2E33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FBE8" w14:textId="6AC38672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1 - 7</w:t>
            </w:r>
            <w:r w:rsidR="002C2E33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578" w:type="dxa"/>
          </w:tcPr>
          <w:p w14:paraId="5E7E9FEE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</w:t>
            </w:r>
            <w:r w:rsidR="00D97321">
              <w:rPr>
                <w:rFonts w:cs="Arial"/>
                <w:color w:val="000000" w:themeColor="text1"/>
                <w:lang w:eastAsia="pl-PL"/>
              </w:rPr>
              <w:t>5</w:t>
            </w:r>
            <w:r>
              <w:rPr>
                <w:rFonts w:cs="Arial"/>
                <w:color w:val="000000" w:themeColor="text1"/>
                <w:lang w:eastAsia="pl-PL"/>
              </w:rPr>
              <w:t>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757CE34C" w14:textId="1BE68E3D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328C9A7" w14:textId="3AAFF6F1" w:rsidR="002C2E33" w:rsidRPr="001B6667" w:rsidRDefault="006A73DB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F17B97">
              <w:rPr>
                <w:rFonts w:cs="Arial"/>
                <w:lang w:eastAsia="pl-PL"/>
              </w:rPr>
              <w:t>01-2021</w:t>
            </w:r>
          </w:p>
        </w:tc>
        <w:tc>
          <w:tcPr>
            <w:tcW w:w="2642" w:type="dxa"/>
          </w:tcPr>
          <w:p w14:paraId="1E31D899" w14:textId="4D6D003F" w:rsidR="002C2E33" w:rsidRDefault="006A73D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osiągnięto</w:t>
            </w:r>
          </w:p>
          <w:p w14:paraId="6A0B4B6C" w14:textId="77777777" w:rsidR="00E003FB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CCED00" w14:textId="430A5EAB" w:rsidR="00E003FB" w:rsidRPr="00B16EC3" w:rsidRDefault="00E003FB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C2E33" w:rsidRPr="002B50C0" w14:paraId="475282C0" w14:textId="77777777" w:rsidTr="00D7397A">
        <w:tc>
          <w:tcPr>
            <w:tcW w:w="2066" w:type="dxa"/>
          </w:tcPr>
          <w:p w14:paraId="63A51702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lastRenderedPageBreak/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09B7D" w14:textId="01C336FE" w:rsidR="002C2E33" w:rsidRPr="003E1249" w:rsidRDefault="006A49A4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2C2E33">
              <w:rPr>
                <w:rFonts w:ascii="Arial" w:hAnsi="Arial" w:cs="Arial"/>
                <w:sz w:val="18"/>
                <w:szCs w:val="18"/>
              </w:rPr>
              <w:t>33 500 szt.</w:t>
            </w:r>
          </w:p>
        </w:tc>
        <w:tc>
          <w:tcPr>
            <w:tcW w:w="1578" w:type="dxa"/>
          </w:tcPr>
          <w:p w14:paraId="3142E98B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2E09FC9A" w14:textId="1BA951C7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02C72E4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4407197" w14:textId="77777777" w:rsidR="002C2E33" w:rsidRPr="00B16EC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C2E33" w:rsidRPr="002B50C0" w14:paraId="4D435E6F" w14:textId="77777777" w:rsidTr="00D7397A">
        <w:tc>
          <w:tcPr>
            <w:tcW w:w="2066" w:type="dxa"/>
          </w:tcPr>
          <w:p w14:paraId="436ED1DF" w14:textId="77777777" w:rsidR="002C2E33" w:rsidRPr="008A4D86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34DA" w14:textId="77777777" w:rsidR="002C2E33" w:rsidRPr="003E1249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 w:rsidRPr="003E1249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578" w:type="dxa"/>
          </w:tcPr>
          <w:p w14:paraId="509AA118" w14:textId="77777777" w:rsidR="002C2E33" w:rsidRDefault="002C2E33" w:rsidP="00D7397A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Pr="00612C01">
              <w:rPr>
                <w:rFonts w:cs="Arial"/>
                <w:color w:val="000000" w:themeColor="text1"/>
                <w:lang w:eastAsia="pl-PL"/>
              </w:rPr>
              <w:t>202</w:t>
            </w:r>
            <w:r w:rsidR="00D97321">
              <w:rPr>
                <w:rFonts w:cs="Arial"/>
                <w:color w:val="000000" w:themeColor="text1"/>
                <w:lang w:eastAsia="pl-PL"/>
              </w:rPr>
              <w:t>1</w:t>
            </w:r>
          </w:p>
          <w:p w14:paraId="0AD644B3" w14:textId="1A2AD76A" w:rsidR="007F1B19" w:rsidRPr="00612C01" w:rsidRDefault="007F1B19" w:rsidP="007F1B19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1876" w:type="dxa"/>
          </w:tcPr>
          <w:p w14:paraId="59162EAA" w14:textId="77777777" w:rsidR="002C2E33" w:rsidRPr="001B6667" w:rsidRDefault="002C2E33" w:rsidP="00D7397A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3090CF8" w14:textId="77777777" w:rsidR="002C2E33" w:rsidRPr="00B16EC3" w:rsidRDefault="002C2E33" w:rsidP="00D7397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2C8AA816" w14:textId="77777777" w:rsidR="002C2E33" w:rsidRPr="00B1432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</w:p>
    <w:p w14:paraId="5E5F0CB6" w14:textId="77777777" w:rsidR="002C2E33" w:rsidRPr="00B14323" w:rsidRDefault="002C2E33" w:rsidP="002C2E33">
      <w:pPr>
        <w:pStyle w:val="Akapitzlist"/>
        <w:spacing w:before="240" w:after="120"/>
        <w:ind w:left="360"/>
        <w:rPr>
          <w:rFonts w:ascii="Arial" w:hAnsi="Arial" w:cs="Arial"/>
          <w:b/>
          <w:sz w:val="20"/>
          <w:szCs w:val="20"/>
        </w:rPr>
      </w:pPr>
      <w:r w:rsidRPr="003359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C2E33" w:rsidRPr="002B50C0" w14:paraId="6BF3F23C" w14:textId="77777777" w:rsidTr="00D7397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F778F36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8BDF6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AA40F37" w14:textId="77777777" w:rsidR="002C2E33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22E8735E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A9EB471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57D1DFB" w14:textId="77777777" w:rsidR="002C2E33" w:rsidRPr="00141A92" w:rsidRDefault="002C2E33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C2E33" w:rsidRPr="002B50C0" w14:paraId="582188C9" w14:textId="77777777" w:rsidTr="00D7397A">
        <w:tc>
          <w:tcPr>
            <w:tcW w:w="2545" w:type="dxa"/>
          </w:tcPr>
          <w:p w14:paraId="08A0CFA7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1C4AE3DB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0140627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D9AF7DB" w14:textId="79B542AE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4AFA63E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3CC57C" w14:textId="30B6B391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0570EC2F" w14:textId="69AF55E3" w:rsidR="002C2E33" w:rsidRPr="0020402E" w:rsidRDefault="006A73DB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</w:t>
            </w:r>
          </w:p>
        </w:tc>
      </w:tr>
      <w:tr w:rsidR="002C2E33" w:rsidRPr="002B50C0" w14:paraId="5B522D5C" w14:textId="77777777" w:rsidTr="00D7397A">
        <w:tc>
          <w:tcPr>
            <w:tcW w:w="2545" w:type="dxa"/>
          </w:tcPr>
          <w:p w14:paraId="19896C53" w14:textId="77777777" w:rsidR="002C2E33" w:rsidRPr="0020402E" w:rsidRDefault="002C2E33" w:rsidP="00D7397A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80D75CF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6D4EE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494254D6" w14:textId="651722A6" w:rsidR="002C2E33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</w:t>
            </w:r>
            <w:r w:rsidR="00D97321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DEA3EC0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77EEEC" w14:textId="2E7622E5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</w:tc>
        <w:tc>
          <w:tcPr>
            <w:tcW w:w="2268" w:type="dxa"/>
          </w:tcPr>
          <w:p w14:paraId="5F159DC3" w14:textId="6F5E8087" w:rsidR="002C2E33" w:rsidRPr="0020402E" w:rsidRDefault="002134DB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359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C2E33" w:rsidRPr="002B50C0" w14:paraId="512890F7" w14:textId="77777777" w:rsidTr="00D7397A">
        <w:tc>
          <w:tcPr>
            <w:tcW w:w="2545" w:type="dxa"/>
          </w:tcPr>
          <w:p w14:paraId="7AA3155C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5D775CB0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2BA5ED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71AA75F" w14:textId="64BA6930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0B868A90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FAA76B1" w14:textId="59983D2A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  <w:p w14:paraId="708954B4" w14:textId="2493A840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F8374E6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C2E33" w:rsidRPr="002B50C0" w14:paraId="62E8403F" w14:textId="77777777" w:rsidTr="00D7397A">
        <w:tc>
          <w:tcPr>
            <w:tcW w:w="2545" w:type="dxa"/>
          </w:tcPr>
          <w:p w14:paraId="1C4E45C6" w14:textId="77777777" w:rsidR="002C2E33" w:rsidRPr="0020402E" w:rsidRDefault="002C2E33" w:rsidP="00D739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01D781F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A0B931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6F4964A" w14:textId="788C7DD5" w:rsidR="002C2E33" w:rsidRDefault="00D97321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</w:t>
            </w:r>
            <w:r w:rsidR="002C2E3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A82763">
              <w:rPr>
                <w:rFonts w:ascii="Arial" w:hAnsi="Arial" w:cs="Arial"/>
                <w:sz w:val="18"/>
                <w:szCs w:val="18"/>
                <w:lang w:eastAsia="pl-PL"/>
              </w:rPr>
              <w:t>**</w:t>
            </w:r>
          </w:p>
          <w:p w14:paraId="4ABCAA13" w14:textId="77777777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D497C1" w14:textId="34CE9A5C" w:rsidR="00A82763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 (pierwotna data)</w:t>
            </w:r>
          </w:p>
          <w:p w14:paraId="07ED60F4" w14:textId="5036868C" w:rsidR="00A82763" w:rsidRPr="0020402E" w:rsidRDefault="00A82763" w:rsidP="00D7397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38AD1415" w14:textId="77777777" w:rsidR="002C2E33" w:rsidRPr="0020402E" w:rsidRDefault="002C2E33" w:rsidP="00D739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C16E06E" w14:textId="4E64652E" w:rsidR="002C2E33" w:rsidRPr="002C2E33" w:rsidRDefault="00A82763" w:rsidP="002C2E33">
      <w:pPr>
        <w:pStyle w:val="Nagwek2"/>
        <w:spacing w:before="360" w:after="120"/>
        <w:ind w:left="426"/>
        <w:rPr>
          <w:rStyle w:val="Nagwek2Znak"/>
          <w:rFonts w:ascii="Arial" w:hAnsi="Arial" w:cs="Arial"/>
        </w:rPr>
      </w:pPr>
      <w:r w:rsidRPr="00A82763">
        <w:rPr>
          <w:rStyle w:val="Nagwek2Znak"/>
          <w:rFonts w:ascii="Arial" w:hAnsi="Arial" w:cs="Arial"/>
          <w:color w:val="000000" w:themeColor="text1"/>
        </w:rPr>
        <w:t xml:space="preserve">** </w:t>
      </w:r>
      <w:bookmarkStart w:id="0" w:name="_Hlk63160334"/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>Zgodnie z podpisanym w dniu 06.11.2020 r. aneksem do umowy o dofinansowanie realizacji projekt</w:t>
      </w:r>
      <w:r w:rsidRPr="00A82763">
        <w:rPr>
          <w:rFonts w:ascii="Arial" w:hAnsi="Arial" w:cs="Arial"/>
          <w:color w:val="000000" w:themeColor="text1"/>
          <w:sz w:val="18"/>
          <w:szCs w:val="18"/>
        </w:rPr>
        <w:t xml:space="preserve">u pn. </w:t>
      </w:r>
      <w:r w:rsidRPr="00A82763">
        <w:rPr>
          <w:rFonts w:ascii="Arial" w:hAnsi="Arial" w:cs="Arial"/>
          <w:i/>
          <w:iCs/>
          <w:color w:val="000000" w:themeColor="text1"/>
          <w:sz w:val="18"/>
          <w:szCs w:val="18"/>
        </w:rPr>
        <w:t>„Budowa węzłów bezpieczeństwa szkolnego ruchu internetowego Ogólnopolskiej Sieci Edukacyjnej”</w:t>
      </w:r>
      <w:r w:rsidRPr="00A82763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>została m.in. przedłużona data realizacji projektu do 31.12.202</w:t>
      </w:r>
      <w:r w:rsidR="005E32AB">
        <w:rPr>
          <w:rFonts w:ascii="Arial" w:eastAsiaTheme="minorHAnsi" w:hAnsi="Arial" w:cs="Arial"/>
          <w:color w:val="000000" w:themeColor="text1"/>
          <w:sz w:val="18"/>
          <w:szCs w:val="18"/>
        </w:rPr>
        <w:t>1</w:t>
      </w:r>
      <w:r w:rsidRPr="00A82763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r. </w:t>
      </w:r>
      <w:r w:rsidRPr="00A82763">
        <w:rPr>
          <w:rFonts w:ascii="Arial" w:hAnsi="Arial" w:cs="Arial"/>
          <w:color w:val="000000" w:themeColor="text1"/>
          <w:sz w:val="18"/>
          <w:szCs w:val="18"/>
        </w:rPr>
        <w:t>jak również zmieniono planowane terminy osiągnięcia wskaźników efektywności projektu (KPI).</w:t>
      </w:r>
      <w:bookmarkEnd w:id="0"/>
    </w:p>
    <w:p w14:paraId="52A08447" w14:textId="4472B75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066D88A5" w14:textId="77777777" w:rsidTr="00517F12">
        <w:tc>
          <w:tcPr>
            <w:tcW w:w="2937" w:type="dxa"/>
          </w:tcPr>
          <w:p w14:paraId="21262D83" w14:textId="66AB72CA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69" w:type="dxa"/>
          </w:tcPr>
          <w:p w14:paraId="016C9765" w14:textId="5A5FAC5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1134" w:type="dxa"/>
          </w:tcPr>
          <w:p w14:paraId="3DF8A089" w14:textId="58AD5E59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  <w:tc>
          <w:tcPr>
            <w:tcW w:w="4394" w:type="dxa"/>
          </w:tcPr>
          <w:p w14:paraId="7DE99E5E" w14:textId="0E0960D0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40FA0">
              <w:t>n/d</w:t>
            </w:r>
          </w:p>
        </w:tc>
      </w:tr>
    </w:tbl>
    <w:p w14:paraId="526AAE7B" w14:textId="31423DC9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4BB8" w:rsidRPr="002B50C0" w14:paraId="153EA8F3" w14:textId="77777777" w:rsidTr="00C6751B">
        <w:tc>
          <w:tcPr>
            <w:tcW w:w="2937" w:type="dxa"/>
          </w:tcPr>
          <w:p w14:paraId="46265E90" w14:textId="3BF759BD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69" w:type="dxa"/>
          </w:tcPr>
          <w:p w14:paraId="6D7C5935" w14:textId="1B3A719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1134" w:type="dxa"/>
          </w:tcPr>
          <w:p w14:paraId="56773D50" w14:textId="3490098E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  <w:tc>
          <w:tcPr>
            <w:tcW w:w="4394" w:type="dxa"/>
          </w:tcPr>
          <w:p w14:paraId="37781807" w14:textId="58002DF8" w:rsidR="00A74BB8" w:rsidRPr="00141A92" w:rsidRDefault="00A74BB8" w:rsidP="00A74BB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2582F">
              <w:t>n/d</w:t>
            </w:r>
          </w:p>
        </w:tc>
      </w:tr>
    </w:tbl>
    <w:p w14:paraId="1B41F364" w14:textId="636B7AB1" w:rsidR="00081E91" w:rsidRDefault="00081E91" w:rsidP="00081E91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62764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62764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niż wskazane w pkt 4 i 5)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2D4EB12B" w14:textId="77777777" w:rsidR="00F17B97" w:rsidRPr="00F17B97" w:rsidRDefault="00F17B97" w:rsidP="00F17B97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081E91" w:rsidRPr="002B50C0" w14:paraId="145D3B84" w14:textId="77777777" w:rsidTr="00D7397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C231633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9177851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46FBACF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5E4296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42D2E7D" w14:textId="77777777" w:rsidR="00081E91" w:rsidRPr="00141A92" w:rsidRDefault="00081E91" w:rsidP="00D7397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81E91" w:rsidRPr="002B50C0" w14:paraId="3C9ABCFA" w14:textId="77777777" w:rsidTr="00D7397A">
        <w:tc>
          <w:tcPr>
            <w:tcW w:w="2547" w:type="dxa"/>
          </w:tcPr>
          <w:p w14:paraId="57C10314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4F211B90" w14:textId="77777777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</w:t>
            </w:r>
            <w:r w:rsidR="00081E91">
              <w:rPr>
                <w:rFonts w:ascii="Arial" w:hAnsi="Arial" w:cs="Arial"/>
                <w:sz w:val="18"/>
                <w:szCs w:val="20"/>
              </w:rPr>
              <w:t>-</w:t>
            </w:r>
            <w:r w:rsidR="00081E91" w:rsidRPr="00211D44">
              <w:rPr>
                <w:rFonts w:ascii="Arial" w:hAnsi="Arial" w:cs="Arial"/>
                <w:sz w:val="18"/>
                <w:szCs w:val="20"/>
              </w:rPr>
              <w:t>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670392">
              <w:rPr>
                <w:rFonts w:ascii="Arial" w:hAnsi="Arial" w:cs="Arial"/>
                <w:sz w:val="18"/>
                <w:szCs w:val="20"/>
              </w:rPr>
              <w:t>***</w:t>
            </w:r>
          </w:p>
          <w:p w14:paraId="49C1B3BF" w14:textId="77777777" w:rsidR="00020B65" w:rsidRDefault="00020B6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A00516" w14:textId="1AFD48D0" w:rsidR="00020B6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843" w:type="dxa"/>
          </w:tcPr>
          <w:p w14:paraId="6FEFE944" w14:textId="1686203A" w:rsidR="00081E91" w:rsidRPr="00211D44" w:rsidRDefault="006A73DB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01-2021</w:t>
            </w:r>
          </w:p>
        </w:tc>
        <w:tc>
          <w:tcPr>
            <w:tcW w:w="3543" w:type="dxa"/>
          </w:tcPr>
          <w:p w14:paraId="22DE61E7" w14:textId="29D320DE" w:rsidR="004C2A30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Nazwa: OSE-S, 16 węzłów sieci</w:t>
            </w:r>
          </w:p>
          <w:p w14:paraId="21177078" w14:textId="760211D3" w:rsidR="006A5FBA" w:rsidRPr="006A5FBA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Produkt „16 węzłów sieci” projektu OSE-S zapewnia </w:t>
            </w:r>
            <w:r w:rsidR="008D6316" w:rsidRPr="008D6316">
              <w:rPr>
                <w:rFonts w:ascii="Arial" w:hAnsi="Arial" w:cs="Arial"/>
                <w:sz w:val="18"/>
                <w:szCs w:val="18"/>
              </w:rPr>
              <w:t>komunikację pomiędzy węzłami bezpieczeństwa, komunikację z siecią Internet, komunikację z użytkownikami końcowymi, dla których świadczone są usługi bezpieczeństwa, jak również kanały do zarządzania węzłami bezpieczeństwa. Powyższe elementy są niezbędne do prawidłowego działania węzły bezpieczeństwa oraz usług przez nie świadczonych.</w:t>
            </w:r>
          </w:p>
          <w:p w14:paraId="059F9035" w14:textId="28B40049" w:rsidR="004C2A30" w:rsidRPr="00C857FB" w:rsidRDefault="006A5FBA" w:rsidP="00C857FB">
            <w:pPr>
              <w:pStyle w:val="Akapitzlist"/>
              <w:numPr>
                <w:ilvl w:val="0"/>
                <w:numId w:val="29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integracji: zrealizowana</w:t>
            </w:r>
          </w:p>
          <w:p w14:paraId="61D4D275" w14:textId="456E0448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081E91" w:rsidRPr="002B50C0" w14:paraId="539C27B4" w14:textId="77777777" w:rsidTr="00D7397A">
        <w:tc>
          <w:tcPr>
            <w:tcW w:w="2547" w:type="dxa"/>
          </w:tcPr>
          <w:p w14:paraId="1750A0EF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428B9396" w14:textId="77777777" w:rsidR="00081E91" w:rsidRDefault="004E08B2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</w:t>
            </w:r>
            <w:r w:rsidR="00081E91">
              <w:rPr>
                <w:rFonts w:ascii="Arial" w:hAnsi="Arial" w:cs="Arial"/>
                <w:sz w:val="18"/>
                <w:szCs w:val="20"/>
              </w:rPr>
              <w:t>-202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670392">
              <w:rPr>
                <w:rFonts w:ascii="Arial" w:hAnsi="Arial" w:cs="Arial"/>
                <w:sz w:val="18"/>
                <w:szCs w:val="20"/>
              </w:rPr>
              <w:t>***</w:t>
            </w:r>
          </w:p>
          <w:p w14:paraId="2E679356" w14:textId="77777777" w:rsidR="00D213E5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B3AA9B3" w14:textId="568C110C" w:rsidR="00D213E5" w:rsidRPr="00211D44" w:rsidRDefault="00D213E5" w:rsidP="00D7397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</w:tc>
        <w:tc>
          <w:tcPr>
            <w:tcW w:w="1843" w:type="dxa"/>
          </w:tcPr>
          <w:p w14:paraId="648CE655" w14:textId="77777777" w:rsidR="00081E91" w:rsidRPr="00211D44" w:rsidRDefault="00081E91" w:rsidP="00D7397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4A5AFE7D" w14:textId="4CA8318E" w:rsid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2136B762" w14:textId="6BADD49A" w:rsidR="00B666F3" w:rsidRPr="00907093" w:rsidRDefault="006A5FBA" w:rsidP="006A5FBA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Produkt „Uruchomione i wdrożone systemy zarządzania (OSS/BSS)”, w zakresie </w:t>
            </w:r>
            <w:proofErr w:type="spellStart"/>
            <w:r w:rsidR="00B666F3" w:rsidRPr="006A5FBA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 infrastruktury obliczeniowej jest niezbędny do działania produktów „Udostępnione usługi bezpieczeństwa poziom 3”. </w:t>
            </w:r>
            <w:r w:rsidR="00EC19C0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="00B666F3" w:rsidRPr="006A5FBA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</w:t>
            </w:r>
            <w:r w:rsidR="00EA7A0F" w:rsidRPr="006A5FBA">
              <w:rPr>
                <w:rFonts w:ascii="Arial" w:hAnsi="Arial" w:cs="Arial"/>
                <w:sz w:val="18"/>
                <w:szCs w:val="18"/>
              </w:rPr>
              <w:t xml:space="preserve"> Przedmiotowa infrastruktura obliczeniowa udostępnia zasoby obliczeniowe w postaci maszyn wirtualnych, na bazie których implementowane są poszczególne komponentu systemu realizującego usługi bezpieczeństwa poziom 3.</w:t>
            </w:r>
          </w:p>
          <w:p w14:paraId="36430B68" w14:textId="757B032C" w:rsidR="006A5FBA" w:rsidRPr="006A5FBA" w:rsidRDefault="006A5FBA" w:rsidP="00C857FB">
            <w:pPr>
              <w:pStyle w:val="Akapitzlist"/>
              <w:numPr>
                <w:ilvl w:val="0"/>
                <w:numId w:val="30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A5FBA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  <w:p w14:paraId="0C6D2E76" w14:textId="68C8940F" w:rsidR="00081E91" w:rsidRPr="00211D44" w:rsidRDefault="00081E91" w:rsidP="00C857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A6504" w:rsidRPr="002B50C0" w14:paraId="4472B24B" w14:textId="77777777" w:rsidTr="00D7397A">
        <w:tc>
          <w:tcPr>
            <w:tcW w:w="2547" w:type="dxa"/>
          </w:tcPr>
          <w:p w14:paraId="28ABFF21" w14:textId="77777777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2B4E5223" w14:textId="5928D6EF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07-2021***</w:t>
            </w:r>
          </w:p>
          <w:p w14:paraId="0ECA758E" w14:textId="77777777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CCC871F" w14:textId="6D686648" w:rsidR="001A650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 (pierwotna data)</w:t>
            </w:r>
          </w:p>
          <w:p w14:paraId="69676D8D" w14:textId="76B1C48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FE2AEE3" w14:textId="77777777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D1AB4F9" w14:textId="46868EEF" w:rsidR="001A6504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Nazwa: OSE-S, </w:t>
            </w:r>
            <w:r w:rsidRPr="006A5FBA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  <w:p w14:paraId="449D968A" w14:textId="79894C53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 xml:space="preserve">Opis zależności: Produkt „Uruchomione i wdrożone systemy zarządzania (OSS/BSS)”, w zakresie </w:t>
            </w:r>
            <w:proofErr w:type="spellStart"/>
            <w:r w:rsidRPr="00FE72F7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Pr="00FE72F7">
              <w:rPr>
                <w:rFonts w:ascii="Arial" w:hAnsi="Arial" w:cs="Arial"/>
                <w:sz w:val="18"/>
                <w:szCs w:val="18"/>
              </w:rPr>
              <w:t xml:space="preserve"> infrastruktury obliczeniowej jest niezbędny do działania produktów „Udostępnione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”. </w:t>
            </w:r>
            <w:r w:rsidR="00D7397A">
              <w:rPr>
                <w:rFonts w:ascii="Arial" w:hAnsi="Arial" w:cs="Arial"/>
                <w:sz w:val="18"/>
                <w:szCs w:val="18"/>
              </w:rPr>
              <w:t>Systemy</w:t>
            </w:r>
            <w:r w:rsidR="00EC19C0">
              <w:rPr>
                <w:rFonts w:ascii="Arial" w:hAnsi="Arial" w:cs="Arial"/>
                <w:sz w:val="18"/>
                <w:szCs w:val="18"/>
              </w:rPr>
              <w:t>, realizujące p</w:t>
            </w:r>
            <w:r w:rsidRPr="00FE72F7">
              <w:rPr>
                <w:rFonts w:ascii="Arial" w:hAnsi="Arial" w:cs="Arial"/>
                <w:sz w:val="18"/>
                <w:szCs w:val="18"/>
              </w:rPr>
              <w:t>owyższe usługi bezpieczeństwa</w:t>
            </w:r>
            <w:r w:rsidR="00EC19C0">
              <w:rPr>
                <w:rFonts w:ascii="Arial" w:hAnsi="Arial" w:cs="Arial"/>
                <w:sz w:val="18"/>
                <w:szCs w:val="18"/>
              </w:rPr>
              <w:t>,</w:t>
            </w:r>
            <w:r w:rsidRPr="00FE72F7">
              <w:rPr>
                <w:rFonts w:ascii="Arial" w:hAnsi="Arial" w:cs="Arial"/>
                <w:sz w:val="18"/>
                <w:szCs w:val="18"/>
              </w:rPr>
              <w:t xml:space="preserve"> zostały na etapie specyfikowania wymagań zaprojektowane do implementacji jako rozwiązania aplikacyjne, wymagające do wdrożenia infrastruktury obliczeniowej. Przedmiotowa infrastruktura obliczeniowa udostępnia zasoby obliczeniowe w postaci maszyn wirtualnych, na bazie </w:t>
            </w:r>
            <w:r w:rsidRPr="00FE72F7">
              <w:rPr>
                <w:rFonts w:ascii="Arial" w:hAnsi="Arial" w:cs="Arial"/>
                <w:sz w:val="18"/>
                <w:szCs w:val="18"/>
              </w:rPr>
              <w:lastRenderedPageBreak/>
              <w:t xml:space="preserve">których implementowane są poszczególne komponentu systemu realizującego usługi bezpieczeństwa poziom </w:t>
            </w:r>
            <w:r w:rsidR="009C231F">
              <w:rPr>
                <w:rFonts w:ascii="Arial" w:hAnsi="Arial" w:cs="Arial"/>
                <w:sz w:val="18"/>
                <w:szCs w:val="18"/>
              </w:rPr>
              <w:t>4</w:t>
            </w:r>
            <w:r w:rsidRPr="00FE72F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CA4FD0E" w14:textId="77777777" w:rsidR="001A6504" w:rsidRPr="00FE72F7" w:rsidRDefault="001A6504" w:rsidP="00C857FB">
            <w:pPr>
              <w:pStyle w:val="Akapitzlist"/>
              <w:numPr>
                <w:ilvl w:val="0"/>
                <w:numId w:val="31"/>
              </w:numPr>
              <w:ind w:left="179" w:firstLine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FE72F7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  <w:p w14:paraId="765C0D2F" w14:textId="4DB77E61" w:rsidR="001A6504" w:rsidRPr="00211D44" w:rsidRDefault="001A6504" w:rsidP="001A650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CECCC7F" w14:textId="17910560" w:rsidR="002B5AFB" w:rsidRDefault="002B5AFB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3187E8B3" w14:textId="75DF2AEF" w:rsidR="00670392" w:rsidRDefault="00670392" w:rsidP="002B5AFB">
      <w:pPr>
        <w:spacing w:before="360" w:after="120"/>
        <w:ind w:left="426"/>
        <w:contextualSpacing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*** 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 xml:space="preserve">Zgodnie z podpisanym w dniu 06.11.2020 r. aneksem do umowy o dofinansowanie realizacji projektu pn. </w:t>
      </w:r>
      <w:r w:rsidR="00020B65" w:rsidRPr="00A82763">
        <w:rPr>
          <w:rFonts w:ascii="Arial" w:hAnsi="Arial" w:cs="Arial"/>
          <w:i/>
          <w:iCs/>
          <w:color w:val="000000" w:themeColor="text1"/>
          <w:sz w:val="18"/>
          <w:szCs w:val="18"/>
        </w:rPr>
        <w:t>„Budowa węzłów bezpieczeństwa szkolnego ruchu internetowego Ogólnopolskiej Sieci Edukacyjnej”</w:t>
      </w:r>
      <w:r w:rsidR="00020B65" w:rsidRPr="00A82763">
        <w:rPr>
          <w:rFonts w:ascii="Arial" w:hAnsi="Arial" w:cs="Arial"/>
          <w:b/>
          <w:bCs/>
          <w:i/>
          <w:iCs/>
          <w:color w:val="000000" w:themeColor="text1"/>
          <w:sz w:val="20"/>
        </w:rPr>
        <w:t xml:space="preserve"> 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>została m.in. przedłużona data realizacji projektu do 31.12.202</w:t>
      </w:r>
      <w:r w:rsidR="005E32AB">
        <w:rPr>
          <w:rFonts w:ascii="Arial" w:hAnsi="Arial" w:cs="Arial"/>
          <w:color w:val="000000" w:themeColor="text1"/>
          <w:sz w:val="18"/>
          <w:szCs w:val="18"/>
        </w:rPr>
        <w:t>1</w:t>
      </w:r>
      <w:r w:rsidR="00020B65" w:rsidRPr="00A82763">
        <w:rPr>
          <w:rFonts w:ascii="Arial" w:hAnsi="Arial" w:cs="Arial"/>
          <w:color w:val="000000" w:themeColor="text1"/>
          <w:sz w:val="18"/>
          <w:szCs w:val="18"/>
        </w:rPr>
        <w:t xml:space="preserve"> r. jak również zmieniono planowane</w:t>
      </w:r>
      <w:r w:rsidR="00020B65">
        <w:rPr>
          <w:rFonts w:ascii="Arial" w:hAnsi="Arial" w:cs="Arial"/>
          <w:color w:val="000000" w:themeColor="text1"/>
          <w:sz w:val="18"/>
          <w:szCs w:val="18"/>
        </w:rPr>
        <w:t xml:space="preserve"> daty wdrożenia produktów końcowych projektu.</w:t>
      </w:r>
    </w:p>
    <w:p w14:paraId="0D7F125B" w14:textId="77777777" w:rsidR="002119A5" w:rsidRDefault="002119A5" w:rsidP="002B5AFB">
      <w:pPr>
        <w:spacing w:before="360" w:after="120"/>
        <w:ind w:left="426"/>
        <w:contextualSpacing/>
        <w:rPr>
          <w:rFonts w:ascii="Arial" w:hAnsi="Arial" w:cs="Arial"/>
          <w:color w:val="000000" w:themeColor="text1"/>
          <w:sz w:val="18"/>
          <w:szCs w:val="18"/>
        </w:rPr>
      </w:pPr>
    </w:p>
    <w:p w14:paraId="5D480BF3" w14:textId="77777777" w:rsidR="00020B65" w:rsidRPr="002B5AFB" w:rsidRDefault="00020B65" w:rsidP="002B5AFB">
      <w:pPr>
        <w:spacing w:before="360" w:after="120"/>
        <w:ind w:left="426"/>
        <w:contextualSpacing/>
        <w:rPr>
          <w:rFonts w:ascii="Arial" w:hAnsi="Arial" w:cs="Arial"/>
          <w:sz w:val="20"/>
          <w:szCs w:val="20"/>
        </w:rPr>
      </w:pPr>
    </w:p>
    <w:p w14:paraId="777119D7" w14:textId="226F250B" w:rsidR="002B5AFB" w:rsidRPr="002B5AFB" w:rsidRDefault="002B5AFB" w:rsidP="002B5AFB">
      <w:pPr>
        <w:numPr>
          <w:ilvl w:val="0"/>
          <w:numId w:val="19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 xml:space="preserve">Ryzyka </w:t>
      </w:r>
      <w:r w:rsidRPr="002B5AFB">
        <w:rPr>
          <w:rFonts w:ascii="Arial" w:hAnsi="Arial" w:cs="Arial"/>
        </w:rPr>
        <w:t xml:space="preserve">  </w:t>
      </w:r>
    </w:p>
    <w:p w14:paraId="48F9533A" w14:textId="5EEFE687" w:rsidR="002B5AFB" w:rsidRDefault="002B5AFB" w:rsidP="002B5AFB">
      <w:pPr>
        <w:spacing w:after="120"/>
        <w:rPr>
          <w:rFonts w:ascii="Arial" w:hAnsi="Arial" w:cs="Arial"/>
          <w:b/>
          <w:sz w:val="20"/>
          <w:szCs w:val="20"/>
        </w:rPr>
      </w:pPr>
      <w:r w:rsidRPr="002B5AFB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346BAF19" w14:textId="77777777" w:rsidR="002119A5" w:rsidRPr="002B5AFB" w:rsidRDefault="002119A5" w:rsidP="002B5AFB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2B5AFB" w:rsidRPr="002B5AFB" w14:paraId="0073BF5D" w14:textId="77777777" w:rsidTr="00D7397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FFAB74E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057000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4A809F1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D924BD3" w14:textId="77777777" w:rsidR="002B5AFB" w:rsidRPr="002B5AFB" w:rsidRDefault="002B5AFB" w:rsidP="002B5AFB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5A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2B5AFB" w:rsidRPr="002B5AFB" w14:paraId="5F18C6B5" w14:textId="77777777" w:rsidTr="000A5F71">
        <w:tc>
          <w:tcPr>
            <w:tcW w:w="3265" w:type="dxa"/>
            <w:vAlign w:val="center"/>
          </w:tcPr>
          <w:p w14:paraId="738100DD" w14:textId="4025AA2C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integracji.</w:t>
            </w:r>
          </w:p>
        </w:tc>
        <w:tc>
          <w:tcPr>
            <w:tcW w:w="1697" w:type="dxa"/>
            <w:vAlign w:val="center"/>
          </w:tcPr>
          <w:p w14:paraId="721006A4" w14:textId="2198B044" w:rsidR="002B5AFB" w:rsidRPr="002B5AFB" w:rsidRDefault="00013EDC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71A7D9E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D0BB680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F5F561F" w14:textId="222914B2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1) Zakup sprawdzonych na rynku, gotowych rozwiązań typu „out of the </w:t>
            </w:r>
            <w:proofErr w:type="spellStart"/>
            <w:r w:rsidRPr="002B5AFB">
              <w:rPr>
                <w:rFonts w:ascii="Arial" w:hAnsi="Arial" w:cs="Arial"/>
                <w:sz w:val="18"/>
                <w:szCs w:val="20"/>
              </w:rPr>
              <w:t>box</w:t>
            </w:r>
            <w:proofErr w:type="spellEnd"/>
            <w:r w:rsidRPr="002B5AFB">
              <w:rPr>
                <w:rFonts w:ascii="Arial" w:hAnsi="Arial" w:cs="Arial"/>
                <w:sz w:val="18"/>
                <w:szCs w:val="20"/>
              </w:rPr>
              <w:t>” zamiast narzędzi wymagających rozwoju.</w:t>
            </w:r>
          </w:p>
          <w:p w14:paraId="1777CFFC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systemów.</w:t>
            </w:r>
          </w:p>
          <w:p w14:paraId="6A72BF86" w14:textId="458C8125" w:rsid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BSS.</w:t>
            </w:r>
          </w:p>
          <w:p w14:paraId="427FF346" w14:textId="5BB27F49" w:rsidR="00013EDC" w:rsidRPr="00013EDC" w:rsidRDefault="00932374" w:rsidP="00013E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4)</w:t>
            </w:r>
            <w:r w:rsidR="00013EDC" w:rsidRPr="00013EDC">
              <w:rPr>
                <w:rFonts w:ascii="Arial" w:hAnsi="Arial" w:cs="Arial"/>
                <w:sz w:val="18"/>
                <w:szCs w:val="20"/>
              </w:rPr>
              <w:t>Zmiana koncepcji wdrożenia systemów OSS BSS.</w:t>
            </w:r>
          </w:p>
          <w:p w14:paraId="41A4979A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Wprowadzono podział, pierwotny zakres postępowania zakupowego jest realizowany w formie 3:</w:t>
            </w:r>
          </w:p>
          <w:p w14:paraId="6258BA3F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1) OSS, zakończone wdrożenie</w:t>
            </w:r>
          </w:p>
          <w:p w14:paraId="00EDF1C9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2) BSS, przygotowanie postępowania</w:t>
            </w:r>
          </w:p>
          <w:p w14:paraId="3A4348CD" w14:textId="436158E7" w:rsidR="00013EDC" w:rsidRPr="002B5AFB" w:rsidRDefault="00013EDC" w:rsidP="00013EDC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3) Chmura, wybrany wykonawca.</w:t>
            </w:r>
          </w:p>
          <w:p w14:paraId="1C99BE85" w14:textId="6DBF9C4A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Spodziewane efekty: Lepsza integracja systemów dedykowanych do OSE.</w:t>
            </w:r>
          </w:p>
          <w:p w14:paraId="512EA924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6AFA7F" w14:textId="03634AE0" w:rsidR="003851AA" w:rsidRPr="002B5AFB" w:rsidRDefault="00013EDC" w:rsidP="00C857FB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lastRenderedPageBreak/>
              <w:t xml:space="preserve">Zmiana w zakresie danego ryzyka w stosunku do poprzedniego okresu sprawozdawczego: </w:t>
            </w:r>
            <w:r w:rsidR="009569BD">
              <w:rPr>
                <w:rFonts w:ascii="Arial" w:hAnsi="Arial" w:cs="Arial"/>
                <w:sz w:val="18"/>
                <w:szCs w:val="20"/>
              </w:rPr>
              <w:t>bez zmian.</w:t>
            </w:r>
          </w:p>
        </w:tc>
      </w:tr>
      <w:tr w:rsidR="002B5AFB" w:rsidRPr="002B5AFB" w14:paraId="4F4BC66C" w14:textId="77777777" w:rsidTr="000A5F71">
        <w:tc>
          <w:tcPr>
            <w:tcW w:w="3265" w:type="dxa"/>
            <w:vAlign w:val="center"/>
          </w:tcPr>
          <w:p w14:paraId="1765B6B4" w14:textId="3146F8FF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lastRenderedPageBreak/>
              <w:t>(Zewnętrzne) Inflacja, wzrost kosztu wynagrodzeń- Wzrost inflacji / kosztów zatrudnienia wyższy niż zakładany.</w:t>
            </w:r>
          </w:p>
        </w:tc>
        <w:tc>
          <w:tcPr>
            <w:tcW w:w="1697" w:type="dxa"/>
            <w:vAlign w:val="center"/>
          </w:tcPr>
          <w:p w14:paraId="1C877641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3B03A52E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665859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15E4B5D9" w14:textId="65650B10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1) Monitoring danych makroekonomicznych.</w:t>
            </w:r>
          </w:p>
          <w:p w14:paraId="0220FB09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2) Pozyskanie dodatkowych środków.</w:t>
            </w:r>
          </w:p>
          <w:p w14:paraId="464B3A66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4F0C2263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zniwelowanie wystąpienia ryzyka. Uniknięcie rotacji pracowników.</w:t>
            </w:r>
          </w:p>
          <w:p w14:paraId="1F901DD0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6D472FA" w14:textId="4207ED99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013EDC">
              <w:rPr>
                <w:rFonts w:ascii="Arial" w:hAnsi="Arial" w:cs="Arial"/>
                <w:sz w:val="18"/>
                <w:szCs w:val="20"/>
              </w:rPr>
              <w:t xml:space="preserve">bez zmian. </w:t>
            </w:r>
          </w:p>
        </w:tc>
      </w:tr>
      <w:tr w:rsidR="002B5AFB" w:rsidRPr="002B5AFB" w14:paraId="7FBC37D5" w14:textId="77777777" w:rsidTr="000A5F71">
        <w:tc>
          <w:tcPr>
            <w:tcW w:w="3265" w:type="dxa"/>
            <w:vAlign w:val="center"/>
          </w:tcPr>
          <w:p w14:paraId="290802C4" w14:textId="5ECA5023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 xml:space="preserve">(Wewnętrzne) Opóźnienie </w:t>
            </w:r>
            <w:r w:rsidR="00936837" w:rsidRPr="00D612EE">
              <w:rPr>
                <w:rFonts w:ascii="Arial" w:hAnsi="Arial" w:cs="Arial"/>
                <w:sz w:val="18"/>
                <w:szCs w:val="20"/>
              </w:rPr>
              <w:t>wdrożenia systemów docelowych BSS</w:t>
            </w:r>
          </w:p>
        </w:tc>
        <w:tc>
          <w:tcPr>
            <w:tcW w:w="1697" w:type="dxa"/>
            <w:vAlign w:val="center"/>
          </w:tcPr>
          <w:p w14:paraId="335ED16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579418BC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44DE991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6785C69A" w14:textId="4F133FB2" w:rsidR="002B5AFB" w:rsidRDefault="00932374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="002B5AFB" w:rsidRPr="002B5AFB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  <w:r w:rsidR="00013EDC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2820D85" w14:textId="133C35B1" w:rsidR="00013EDC" w:rsidRDefault="00932374" w:rsidP="00013E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2)</w:t>
            </w:r>
            <w:r w:rsidR="00013EDC" w:rsidRPr="00013EDC">
              <w:rPr>
                <w:rFonts w:ascii="Arial" w:hAnsi="Arial" w:cs="Arial"/>
                <w:sz w:val="18"/>
                <w:szCs w:val="20"/>
              </w:rPr>
              <w:t>Systemy OSS zostały wdrożone z dniem 25.09.2020</w:t>
            </w:r>
          </w:p>
          <w:p w14:paraId="06909EFE" w14:textId="1DA8DA7A" w:rsidR="00932374" w:rsidRPr="00013EDC" w:rsidRDefault="00932374" w:rsidP="00013E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3) </w:t>
            </w:r>
            <w:r w:rsidRPr="00932374">
              <w:rPr>
                <w:rFonts w:ascii="Arial" w:hAnsi="Arial" w:cs="Arial"/>
                <w:sz w:val="18"/>
                <w:szCs w:val="20"/>
              </w:rPr>
              <w:t>Przeprowadzono ponownie postępowanie zakupowe. Termin otwarcia ofert 14.06.2021 r. Wpłynęły 4 oferty, w dniu 30 .06 odbyły się testy weryfikacyjne najkorzystniejszej oferty, zakończone  wynikiem pozytywnym. Wybór wykonawcy i podpisanie umowy planowane jest na lipiec.</w:t>
            </w:r>
          </w:p>
          <w:p w14:paraId="1220E7C7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27DDB133" w14:textId="4532E1C5" w:rsidR="002B5AFB" w:rsidRPr="002B5AFB" w:rsidRDefault="002B5AFB" w:rsidP="00C857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wyeliminowanie opóźnień wdrożenia systemów na docelowy start węzłów.</w:t>
            </w:r>
          </w:p>
          <w:p w14:paraId="27299F7F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E822E7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03D0CF45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74CDA5AB" w14:textId="77777777" w:rsidR="002119A5" w:rsidRDefault="002119A5" w:rsidP="00936837">
            <w:pPr>
              <w:rPr>
                <w:rFonts w:ascii="Arial" w:hAnsi="Arial" w:cs="Arial"/>
                <w:sz w:val="18"/>
                <w:szCs w:val="20"/>
              </w:rPr>
            </w:pPr>
          </w:p>
          <w:p w14:paraId="4E220E42" w14:textId="0A972FB4" w:rsidR="007F72EA" w:rsidRDefault="002B5AFB" w:rsidP="00936837">
            <w:pPr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lastRenderedPageBreak/>
              <w:t>Zmiana w zakresie danego ryzyka w stosunku do poprzedniego okresu sprawozdawczego:</w:t>
            </w:r>
            <w:r w:rsidR="00932374">
              <w:rPr>
                <w:rFonts w:ascii="Arial" w:hAnsi="Arial" w:cs="Arial"/>
                <w:sz w:val="18"/>
                <w:szCs w:val="20"/>
              </w:rPr>
              <w:t xml:space="preserve"> bez zmian.</w:t>
            </w:r>
            <w:r w:rsidRPr="002B5AFB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7EE3AEF7" w14:textId="344E69F8" w:rsidR="002B5AFB" w:rsidRPr="002B5AFB" w:rsidRDefault="002B5AFB" w:rsidP="00936837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B5AFB" w:rsidRPr="002B5AFB" w14:paraId="41FB16C8" w14:textId="77777777" w:rsidTr="000A5F71">
        <w:tc>
          <w:tcPr>
            <w:tcW w:w="3265" w:type="dxa"/>
            <w:vAlign w:val="center"/>
          </w:tcPr>
          <w:p w14:paraId="6C03C788" w14:textId="575F6652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lastRenderedPageBreak/>
              <w:t>(Zewnętrzne) Wykonalność prawna usług bezpieczeństwa - brak wystarczających podstaw prawnych do realizacji planowanego zakresu usług bezpieczeństwa (poziom 2-4).</w:t>
            </w:r>
          </w:p>
        </w:tc>
        <w:tc>
          <w:tcPr>
            <w:tcW w:w="1697" w:type="dxa"/>
            <w:vAlign w:val="center"/>
          </w:tcPr>
          <w:p w14:paraId="4078AF9D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4BD3174E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551841C" w14:textId="77777777" w:rsidR="002119A5" w:rsidRDefault="002119A5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C31F309" w14:textId="1059850A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1) Powołanie zespołu roboczego MEN w celu przeprowadzenia zmian legislacyjnych umożliwiających realizację pełnego zakresu planowanych usług bezpieczeństwa. </w:t>
            </w:r>
          </w:p>
          <w:p w14:paraId="23458919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2) Dopasowanie charakteru usług do obowiązujących przepisów. </w:t>
            </w:r>
          </w:p>
          <w:p w14:paraId="2071B2DD" w14:textId="07850A11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biznesowego.</w:t>
            </w:r>
          </w:p>
          <w:p w14:paraId="02A2D590" w14:textId="15DFDD29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Stworzenie podstaw prawnych dot. usług bezpieczeństwa.</w:t>
            </w:r>
          </w:p>
          <w:p w14:paraId="3BE7AD96" w14:textId="5ABD425F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Zmiana w zakresie danego ryzyka w stosunku do poprzedniego okresu sprawozdawczego</w:t>
            </w:r>
            <w:r w:rsidR="00936837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D52ED5">
              <w:rPr>
                <w:rFonts w:ascii="Arial" w:hAnsi="Arial" w:cs="Arial"/>
                <w:sz w:val="18"/>
                <w:szCs w:val="20"/>
              </w:rPr>
              <w:t xml:space="preserve">ryzyko zlikwidowane. </w:t>
            </w:r>
          </w:p>
        </w:tc>
      </w:tr>
      <w:tr w:rsidR="002B5AFB" w:rsidRPr="002B5AFB" w14:paraId="3FEEC683" w14:textId="77777777" w:rsidTr="000A5F71">
        <w:trPr>
          <w:trHeight w:val="1486"/>
        </w:trPr>
        <w:tc>
          <w:tcPr>
            <w:tcW w:w="3265" w:type="dxa"/>
            <w:vAlign w:val="center"/>
          </w:tcPr>
          <w:p w14:paraId="6A95DCD1" w14:textId="72C7033F" w:rsidR="002B5AFB" w:rsidRPr="00D612EE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D612EE">
              <w:rPr>
                <w:rFonts w:ascii="Arial" w:hAnsi="Arial" w:cs="Arial"/>
                <w:sz w:val="18"/>
                <w:szCs w:val="20"/>
              </w:rPr>
              <w:t>(Zewnętrzne) Zagrożenie realizacji projektu OSE</w:t>
            </w:r>
            <w:r w:rsidR="00936837" w:rsidRPr="00D612EE">
              <w:rPr>
                <w:rFonts w:ascii="Arial" w:hAnsi="Arial" w:cs="Arial"/>
                <w:sz w:val="18"/>
                <w:szCs w:val="20"/>
              </w:rPr>
              <w:t>-</w:t>
            </w:r>
            <w:r w:rsidRPr="00D612EE">
              <w:rPr>
                <w:rFonts w:ascii="Arial" w:hAnsi="Arial" w:cs="Arial"/>
                <w:sz w:val="18"/>
                <w:szCs w:val="20"/>
              </w:rPr>
              <w:t>B w planowanym czasie i zakresie</w:t>
            </w:r>
            <w:r w:rsidR="007F72EA" w:rsidRPr="00D612E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612EE">
              <w:rPr>
                <w:rFonts w:ascii="Arial" w:hAnsi="Arial" w:cs="Arial"/>
                <w:sz w:val="18"/>
                <w:szCs w:val="20"/>
              </w:rPr>
              <w:t>- zależność od innych projektów (OSE- S).</w:t>
            </w:r>
          </w:p>
        </w:tc>
        <w:tc>
          <w:tcPr>
            <w:tcW w:w="1697" w:type="dxa"/>
            <w:vAlign w:val="center"/>
          </w:tcPr>
          <w:p w14:paraId="1F9AF424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47612D21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E41F2DC" w14:textId="77777777" w:rsidR="002119A5" w:rsidRDefault="002119A5" w:rsidP="00D612EE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760D1803" w14:textId="3345F7D8" w:rsidR="002B5AFB" w:rsidRPr="002B5AFB" w:rsidRDefault="002B5AFB" w:rsidP="00D612EE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W przypadku opóźnienia: zakup usług obcych bezpieczeństwa w miejsce systemów opartych o własną infrastrukturę.</w:t>
            </w:r>
          </w:p>
          <w:p w14:paraId="6F5F20CD" w14:textId="77777777" w:rsidR="002B5AFB" w:rsidRPr="002B5AFB" w:rsidRDefault="002B5AFB" w:rsidP="00D612EE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2F7A401A" w14:textId="77777777" w:rsidR="002B5AFB" w:rsidRPr="002B5AFB" w:rsidRDefault="002B5AFB" w:rsidP="00D612EE">
            <w:pPr>
              <w:spacing w:line="259" w:lineRule="auto"/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>Spodziewane efekty: poprawienie zarządzania czasem w projekcie.</w:t>
            </w:r>
          </w:p>
          <w:p w14:paraId="7FF9E102" w14:textId="77777777" w:rsidR="002B5AFB" w:rsidRPr="002B5AFB" w:rsidRDefault="002B5AFB" w:rsidP="002B5AFB">
            <w:pPr>
              <w:spacing w:after="160" w:line="259" w:lineRule="auto"/>
              <w:rPr>
                <w:rFonts w:ascii="Arial" w:hAnsi="Arial" w:cs="Arial"/>
                <w:sz w:val="18"/>
                <w:szCs w:val="20"/>
              </w:rPr>
            </w:pPr>
          </w:p>
          <w:p w14:paraId="303A1971" w14:textId="1385611D" w:rsidR="002D2BA9" w:rsidRPr="002B5AFB" w:rsidRDefault="002B5AFB" w:rsidP="00D612EE">
            <w:pPr>
              <w:rPr>
                <w:rFonts w:ascii="Arial" w:hAnsi="Arial" w:cs="Arial"/>
                <w:sz w:val="18"/>
                <w:szCs w:val="20"/>
              </w:rPr>
            </w:pPr>
            <w:r w:rsidRPr="002B5AFB">
              <w:rPr>
                <w:rFonts w:ascii="Arial" w:hAnsi="Arial" w:cs="Arial"/>
                <w:sz w:val="18"/>
                <w:szCs w:val="20"/>
              </w:rPr>
              <w:t xml:space="preserve">Zmiana w zakresie danego ryzyka w stosunku do poprzedniego okresu sprawozdawczego: </w:t>
            </w:r>
            <w:r w:rsidR="00D52ED5">
              <w:rPr>
                <w:rFonts w:ascii="Arial" w:hAnsi="Arial" w:cs="Arial"/>
                <w:sz w:val="18"/>
                <w:szCs w:val="20"/>
              </w:rPr>
              <w:t xml:space="preserve">ryzyko zlikwidowane. </w:t>
            </w:r>
          </w:p>
        </w:tc>
      </w:tr>
      <w:tr w:rsidR="002D2BA9" w:rsidRPr="002B5AFB" w14:paraId="0532590F" w14:textId="77777777" w:rsidTr="00B85668">
        <w:trPr>
          <w:trHeight w:val="1486"/>
        </w:trPr>
        <w:tc>
          <w:tcPr>
            <w:tcW w:w="3265" w:type="dxa"/>
          </w:tcPr>
          <w:p w14:paraId="5432F0F6" w14:textId="362D90FE" w:rsidR="002D2BA9" w:rsidRPr="00D612EE" w:rsidRDefault="002D2BA9" w:rsidP="00D612EE">
            <w:pPr>
              <w:rPr>
                <w:rFonts w:ascii="Arial" w:hAnsi="Arial" w:cs="Arial"/>
                <w:sz w:val="18"/>
                <w:szCs w:val="18"/>
              </w:rPr>
            </w:pPr>
            <w:r w:rsidRPr="00D612EE">
              <w:rPr>
                <w:rFonts w:ascii="Arial" w:hAnsi="Arial" w:cs="Arial"/>
                <w:sz w:val="18"/>
                <w:szCs w:val="18"/>
              </w:rPr>
              <w:t>(Zewnętrzne) Pandemia COVID-19.</w:t>
            </w:r>
          </w:p>
        </w:tc>
        <w:tc>
          <w:tcPr>
            <w:tcW w:w="1697" w:type="dxa"/>
          </w:tcPr>
          <w:p w14:paraId="4152E7BB" w14:textId="76DA2FDB" w:rsidR="002D2BA9" w:rsidRPr="002B5AFB" w:rsidRDefault="002D2BA9" w:rsidP="002D2BA9">
            <w:pPr>
              <w:rPr>
                <w:rFonts w:ascii="Arial" w:hAnsi="Arial" w:cs="Arial"/>
                <w:sz w:val="18"/>
                <w:szCs w:val="20"/>
              </w:rPr>
            </w:pPr>
            <w:r w:rsidRPr="00233909">
              <w:t>duża</w:t>
            </w:r>
          </w:p>
        </w:tc>
        <w:tc>
          <w:tcPr>
            <w:tcW w:w="2126" w:type="dxa"/>
          </w:tcPr>
          <w:p w14:paraId="2490CD06" w14:textId="2B6AD4CE" w:rsidR="002D2BA9" w:rsidRPr="002B5AFB" w:rsidRDefault="002D2BA9" w:rsidP="002D2BA9">
            <w:pPr>
              <w:rPr>
                <w:rFonts w:ascii="Arial" w:hAnsi="Arial" w:cs="Arial"/>
                <w:sz w:val="18"/>
                <w:szCs w:val="20"/>
              </w:rPr>
            </w:pPr>
            <w:r w:rsidRPr="00233909">
              <w:t>wysokie</w:t>
            </w:r>
          </w:p>
        </w:tc>
        <w:tc>
          <w:tcPr>
            <w:tcW w:w="2410" w:type="dxa"/>
          </w:tcPr>
          <w:p w14:paraId="45886D8F" w14:textId="77777777" w:rsidR="002119A5" w:rsidRDefault="002119A5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9A1BBB0" w14:textId="630EB025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Ryzyko jest na bieżąco monitorowane w prowadzonym Rejestrze ryzyka dla Programu OSE. </w:t>
            </w:r>
          </w:p>
          <w:p w14:paraId="7CAA31EA" w14:textId="124FA04A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 ramach kategorii reakcji na ryzyko przyjęto działania mające na celu zmniejszenie zagrożenia.</w:t>
            </w:r>
          </w:p>
          <w:p w14:paraId="2849DC30" w14:textId="2662B3DF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lastRenderedPageBreak/>
              <w:t>Działaniami, które zostały podjęte w ramach zminimalizowania wpływu ryzyka na projekt, w przypadku jego zmaterializowania, były:</w:t>
            </w:r>
          </w:p>
          <w:p w14:paraId="3490F2C8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 ścisła współpraca z opera-torami oraz wykonawcami,</w:t>
            </w:r>
          </w:p>
          <w:p w14:paraId="37BEB83A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- bieżąca komunikacja ze szkołami, </w:t>
            </w:r>
          </w:p>
          <w:p w14:paraId="2AAE4D2F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częste raportowanie w celu przyspieszenia prac.</w:t>
            </w:r>
          </w:p>
          <w:p w14:paraId="7BD3BBD1" w14:textId="339B469B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- eskalacja do Przewodniczącego Komitetu sterującego.</w:t>
            </w:r>
          </w:p>
          <w:p w14:paraId="04D94687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Złożono wniosek o</w:t>
            </w:r>
          </w:p>
          <w:p w14:paraId="1E73576D" w14:textId="342818B1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wydłużenie terminu realizacji projektu i kwalifikowalności wydatków do 31.12.2021 ro-ku. Dnia 06.11.2020 podpisano aneks dotyczący ww. zakresu.</w:t>
            </w:r>
          </w:p>
          <w:p w14:paraId="49EDB4C8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3D41BC" w14:textId="61D49995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 xml:space="preserve">Spodziewane efekty: Realizacja projektu zgodnie z założeniami i harmonogramem. </w:t>
            </w:r>
          </w:p>
          <w:p w14:paraId="2C0FA469" w14:textId="77777777" w:rsidR="00013EDC" w:rsidRP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BF2A2BD" w14:textId="66F084EB" w:rsidR="00013EDC" w:rsidRDefault="00013EDC" w:rsidP="00013EDC">
            <w:pPr>
              <w:rPr>
                <w:rFonts w:ascii="Arial" w:hAnsi="Arial" w:cs="Arial"/>
                <w:sz w:val="18"/>
                <w:szCs w:val="20"/>
              </w:rPr>
            </w:pPr>
            <w:r w:rsidRPr="00013EDC">
              <w:rPr>
                <w:rFonts w:ascii="Arial" w:hAnsi="Arial" w:cs="Arial"/>
                <w:sz w:val="18"/>
                <w:szCs w:val="20"/>
              </w:rPr>
              <w:t>Zmiana w zakresie danego ryzyka w stosunku do po-przedniego okresu sprawozdawczego: bez zmian.</w:t>
            </w:r>
          </w:p>
          <w:p w14:paraId="62161BB8" w14:textId="3414DDF1" w:rsidR="003851AA" w:rsidRPr="002B5AFB" w:rsidRDefault="003851AA" w:rsidP="002D2BA9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36837" w:rsidRPr="002B5AFB" w14:paraId="51489F3C" w14:textId="77777777" w:rsidTr="0033590A">
        <w:trPr>
          <w:trHeight w:val="1486"/>
        </w:trPr>
        <w:tc>
          <w:tcPr>
            <w:tcW w:w="3265" w:type="dxa"/>
          </w:tcPr>
          <w:p w14:paraId="6F459E6D" w14:textId="3A6E5E10" w:rsidR="00936837" w:rsidRPr="00D612EE" w:rsidRDefault="00936837" w:rsidP="00D612EE">
            <w:pPr>
              <w:rPr>
                <w:rFonts w:ascii="Arial" w:hAnsi="Arial" w:cs="Arial"/>
                <w:sz w:val="18"/>
                <w:szCs w:val="18"/>
              </w:rPr>
            </w:pPr>
            <w:r w:rsidRPr="00D612EE">
              <w:rPr>
                <w:rFonts w:ascii="Arial" w:hAnsi="Arial" w:cs="Arial"/>
                <w:sz w:val="18"/>
                <w:szCs w:val="18"/>
              </w:rPr>
              <w:lastRenderedPageBreak/>
              <w:t>(Zewnętrzne) Brak budżetu dla łączy trudnych.</w:t>
            </w:r>
          </w:p>
        </w:tc>
        <w:tc>
          <w:tcPr>
            <w:tcW w:w="1697" w:type="dxa"/>
          </w:tcPr>
          <w:p w14:paraId="5CDBA8D7" w14:textId="730A6BAF" w:rsidR="00936837" w:rsidRPr="00233909" w:rsidRDefault="008B7933" w:rsidP="002D2BA9">
            <w:r>
              <w:t>średnia</w:t>
            </w:r>
          </w:p>
        </w:tc>
        <w:tc>
          <w:tcPr>
            <w:tcW w:w="2126" w:type="dxa"/>
            <w:shd w:val="clear" w:color="auto" w:fill="auto"/>
          </w:tcPr>
          <w:p w14:paraId="71E93A03" w14:textId="701C1844" w:rsidR="00936837" w:rsidRPr="002D20B7" w:rsidRDefault="008B7933" w:rsidP="002D2BA9">
            <w:r w:rsidRPr="002D20B7">
              <w:t>wysokie</w:t>
            </w:r>
          </w:p>
        </w:tc>
        <w:tc>
          <w:tcPr>
            <w:tcW w:w="2410" w:type="dxa"/>
            <w:shd w:val="clear" w:color="auto" w:fill="auto"/>
          </w:tcPr>
          <w:p w14:paraId="2EABAEFB" w14:textId="77777777" w:rsidR="002119A5" w:rsidRDefault="002119A5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2A8941FB" w14:textId="1DDFD2EE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Zmniejszenie zagrożenia</w:t>
            </w:r>
          </w:p>
          <w:p w14:paraId="5B4A0AC0" w14:textId="77777777" w:rsidR="006D6047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1) Zintensyfikowanie prac po stronie JST, </w:t>
            </w:r>
          </w:p>
          <w:p w14:paraId="74E9DDCF" w14:textId="77777777" w:rsidR="006D6047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2) Biały Montaż, </w:t>
            </w:r>
          </w:p>
          <w:p w14:paraId="6EB50569" w14:textId="428B4BDB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3) Rozwiązanie alternatywne.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160ACE">
              <w:rPr>
                <w:rFonts w:ascii="Arial" w:eastAsia="Calibri" w:hAnsi="Arial" w:cs="Arial"/>
                <w:sz w:val="18"/>
                <w:szCs w:val="18"/>
              </w:rPr>
              <w:t>Negocjacje z operatorami POPC aneksów LTE na łącza opóźnione (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Nexera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, ITP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Telco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Nexera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i ITP </w:t>
            </w:r>
            <w:proofErr w:type="spellStart"/>
            <w:r w:rsidRPr="00160ACE">
              <w:rPr>
                <w:rFonts w:ascii="Arial" w:eastAsia="Calibri" w:hAnsi="Arial" w:cs="Arial"/>
                <w:sz w:val="18"/>
                <w:szCs w:val="18"/>
              </w:rPr>
              <w:t>Telco</w:t>
            </w:r>
            <w:proofErr w:type="spellEnd"/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. Orange odmawia zawarcia aneksu na warunkach usługi OSE. </w:t>
            </w:r>
          </w:p>
          <w:p w14:paraId="319D7512" w14:textId="6999976D" w:rsid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Stwierdzone dodatkowe ryzyko instalacji LTE w szkołach, w których działa inne łącze internetowe.</w:t>
            </w:r>
          </w:p>
          <w:p w14:paraId="4453318D" w14:textId="0D242C0B" w:rsidR="006D6047" w:rsidRPr="00160ACE" w:rsidRDefault="006D6047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4)</w:t>
            </w:r>
            <w:r>
              <w:t xml:space="preserve"> </w:t>
            </w:r>
            <w:r w:rsidRPr="006D6047">
              <w:rPr>
                <w:rFonts w:ascii="Arial" w:eastAsia="Calibri" w:hAnsi="Arial" w:cs="Arial"/>
                <w:sz w:val="18"/>
                <w:szCs w:val="18"/>
              </w:rPr>
              <w:t xml:space="preserve">NASK 14.05.2021r. ogłosił postępowanie na lokalizacje trudne, szacując, że część będzie możliwa do realizacji z </w:t>
            </w:r>
            <w:r w:rsidRPr="006D6047">
              <w:rPr>
                <w:rFonts w:ascii="Arial" w:eastAsia="Calibri" w:hAnsi="Arial" w:cs="Arial"/>
                <w:sz w:val="18"/>
                <w:szCs w:val="18"/>
              </w:rPr>
              <w:lastRenderedPageBreak/>
              <w:t>oszczędności w budżecie OSE. W dniach: 14.06.2021 i 15.06.2021. ogłoszono wyniki dla 349 części, sfinansowanych z oszczędności w dotacji OSE. Pozostały 282 lokalizacje bez operatora, które 23.06.2021. przekazano do CPPC w celu ewentualnego zagospodarowania przez beneficjentów POPC. Rozpoczęto rozmowy z CPPC w celu umożliwienia finansowania opłaty instalacyjnej dla tych lokalizacji z POPC (umowa NASK-CPPC).</w:t>
            </w:r>
          </w:p>
          <w:p w14:paraId="00A10AFC" w14:textId="77777777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3D2F180D" w14:textId="6C7E2E33" w:rsidR="00160ACE" w:rsidRPr="00160ACE" w:rsidRDefault="00160ACE" w:rsidP="00C857FB">
            <w:pPr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Spodziewane efekty: Gotowe łącza do szkół. </w:t>
            </w:r>
          </w:p>
          <w:p w14:paraId="52BA6E88" w14:textId="77777777" w:rsidR="00160ACE" w:rsidRPr="00160ACE" w:rsidRDefault="00160ACE" w:rsidP="00160ACE">
            <w:pPr>
              <w:ind w:left="182"/>
              <w:contextualSpacing/>
              <w:rPr>
                <w:rFonts w:ascii="Arial" w:eastAsia="Calibri" w:hAnsi="Arial" w:cs="Arial"/>
                <w:sz w:val="18"/>
                <w:szCs w:val="18"/>
              </w:rPr>
            </w:pPr>
          </w:p>
          <w:p w14:paraId="1B63733D" w14:textId="2049CA39" w:rsidR="00936837" w:rsidRPr="002D20B7" w:rsidRDefault="00160ACE">
            <w:pPr>
              <w:rPr>
                <w:rFonts w:ascii="Arial" w:hAnsi="Arial" w:cs="Arial"/>
                <w:sz w:val="18"/>
                <w:szCs w:val="20"/>
              </w:rPr>
            </w:pPr>
            <w:r w:rsidRPr="00160ACE">
              <w:rPr>
                <w:rFonts w:ascii="Arial" w:eastAsia="Calibri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D6047">
              <w:rPr>
                <w:rFonts w:ascii="Arial" w:eastAsia="Calibri" w:hAnsi="Arial" w:cs="Arial"/>
                <w:sz w:val="18"/>
                <w:szCs w:val="18"/>
              </w:rPr>
              <w:t xml:space="preserve"> bez zmian. </w:t>
            </w:r>
            <w:r w:rsidRPr="00160ACE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</w:tbl>
    <w:p w14:paraId="7B8A693E" w14:textId="77777777" w:rsidR="009616A1" w:rsidRDefault="009616A1" w:rsidP="002B5AFB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6426DD9" w14:textId="1075354C" w:rsidR="002B5AFB" w:rsidRPr="002B5AFB" w:rsidRDefault="002B5AFB" w:rsidP="002B5AFB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B5A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2B5AFB" w:rsidRPr="002B5AFB" w14:paraId="7499C351" w14:textId="77777777" w:rsidTr="00D7397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D7D0B00" w14:textId="77777777" w:rsidR="002B5AFB" w:rsidRPr="002B5AFB" w:rsidRDefault="002B5AFB" w:rsidP="002B5AF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B5A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1BF1CA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70C0"/>
                <w:kern w:val="1"/>
                <w:sz w:val="20"/>
                <w:szCs w:val="24"/>
                <w:lang w:eastAsia="pl-PL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817B6B6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70C94645" w14:textId="77777777" w:rsidR="002B5AFB" w:rsidRPr="002B5AFB" w:rsidRDefault="002B5AFB" w:rsidP="002B5AF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70C0"/>
                <w:kern w:val="1"/>
                <w:sz w:val="20"/>
                <w:szCs w:val="24"/>
                <w:lang w:eastAsia="pl-PL"/>
              </w:rPr>
            </w:pPr>
            <w:r w:rsidRPr="002B5AFB">
              <w:rPr>
                <w:rFonts w:ascii="Arial" w:eastAsia="Arial Unicode MS" w:hAnsi="Arial" w:cs="Arial"/>
                <w:b/>
                <w:bCs/>
                <w:kern w:val="1"/>
                <w:sz w:val="20"/>
                <w:szCs w:val="20"/>
              </w:rPr>
              <w:t>Sposób zarzadzania ryzykiem</w:t>
            </w:r>
          </w:p>
        </w:tc>
      </w:tr>
      <w:tr w:rsidR="002B5AFB" w:rsidRPr="002B5AFB" w14:paraId="46E3F23E" w14:textId="77777777" w:rsidTr="00D7397A">
        <w:trPr>
          <w:trHeight w:val="724"/>
        </w:trPr>
        <w:tc>
          <w:tcPr>
            <w:tcW w:w="3261" w:type="dxa"/>
            <w:shd w:val="clear" w:color="auto" w:fill="auto"/>
          </w:tcPr>
          <w:p w14:paraId="2F827A09" w14:textId="77777777" w:rsidR="002119A5" w:rsidRDefault="002119A5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9E6FD2D" w14:textId="0B64A7B5" w:rsidR="002B5AFB" w:rsidRPr="002B5AFB" w:rsidRDefault="00E729B8" w:rsidP="002B5AF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2B5AFB" w:rsidRPr="002B5AFB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</w:t>
            </w:r>
            <w:proofErr w:type="spellStart"/>
            <w:r w:rsidR="002B5AFB" w:rsidRPr="002B5AFB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="002B5AFB" w:rsidRPr="002B5AFB">
              <w:rPr>
                <w:rFonts w:ascii="Arial" w:hAnsi="Arial" w:cs="Arial"/>
                <w:sz w:val="18"/>
                <w:szCs w:val="18"/>
              </w:rPr>
              <w:t xml:space="preserve"> od publikacji harmonogramu.</w:t>
            </w:r>
          </w:p>
        </w:tc>
        <w:tc>
          <w:tcPr>
            <w:tcW w:w="1701" w:type="dxa"/>
            <w:shd w:val="clear" w:color="auto" w:fill="FFFFFF"/>
          </w:tcPr>
          <w:p w14:paraId="30190E52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D8B7FD7" w14:textId="3B907659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5A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457FD33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B42270" w14:textId="4C473F66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B5A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023E435D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  <w:p w14:paraId="3899F988" w14:textId="1E9982DE" w:rsidR="002B5AFB" w:rsidRP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B5AFB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1) Promocja projektu.</w:t>
            </w:r>
          </w:p>
          <w:p w14:paraId="37167AA9" w14:textId="77777777" w:rsidR="002B5AFB" w:rsidRDefault="002B5AFB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B5AFB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2) Aktywne pozyskiwanie szkół ujętych w harmonogramie OSE.</w:t>
            </w:r>
          </w:p>
          <w:p w14:paraId="06069DE4" w14:textId="6E941699" w:rsidR="00936837" w:rsidRPr="002B5AFB" w:rsidRDefault="00936837" w:rsidP="002B5AF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</w:tc>
      </w:tr>
      <w:tr w:rsidR="00E729B8" w:rsidRPr="002B5AFB" w14:paraId="4D81295E" w14:textId="77777777" w:rsidTr="00D7397A">
        <w:trPr>
          <w:trHeight w:val="724"/>
        </w:trPr>
        <w:tc>
          <w:tcPr>
            <w:tcW w:w="3261" w:type="dxa"/>
            <w:shd w:val="clear" w:color="auto" w:fill="auto"/>
          </w:tcPr>
          <w:p w14:paraId="1CCEAADB" w14:textId="77777777" w:rsidR="002119A5" w:rsidRDefault="002119A5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4A4083CA" w14:textId="29AAE98E" w:rsidR="00E729B8" w:rsidRPr="002B5AFB" w:rsidRDefault="00E729B8" w:rsidP="002B5AFB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(Zewnętrzne) Pandemia COVID-19</w:t>
            </w:r>
            <w:r w:rsidR="0032173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473A11FD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80CACDC" w14:textId="3F7D5BDD" w:rsidR="00E729B8" w:rsidRPr="002B5AFB" w:rsidRDefault="00E729B8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068BF26" w14:textId="77777777" w:rsidR="002119A5" w:rsidRDefault="002119A5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502A8C" w14:textId="19D0F58C" w:rsidR="00E729B8" w:rsidRPr="002B5AFB" w:rsidRDefault="00E729B8" w:rsidP="002B5AF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06A38A4F" w14:textId="77777777" w:rsidR="002D2BA9" w:rsidRDefault="002D2BA9" w:rsidP="00E729B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B5C060" w14:textId="3281F6F4" w:rsidR="002D2BA9" w:rsidRP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 xml:space="preserve">Ryzyko było/jest na bieżąco monitorowane w prowadzonym Rejestrze ryzyka dla Programu OSE. </w:t>
            </w:r>
          </w:p>
          <w:p w14:paraId="50A1F658" w14:textId="49DF9FCF" w:rsidR="002D2BA9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2D2BA9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W ramach kategorii reakcji na ryzyko przyjęto działania mające na celu zmniejszenie zagrożenia.</w:t>
            </w:r>
          </w:p>
          <w:p w14:paraId="3FDADB22" w14:textId="6D4491E5" w:rsidR="00932374" w:rsidRPr="00FD701D" w:rsidRDefault="00932374" w:rsidP="00932374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Działani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</w:rPr>
              <w:t>a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, które 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</w:rPr>
              <w:t>są podejmowane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 w ramach </w:t>
            </w:r>
            <w:r>
              <w:rPr>
                <w:rFonts w:ascii="Arial" w:eastAsia="Arial Unicode MS" w:hAnsi="Arial" w:cs="Arial"/>
                <w:kern w:val="1"/>
                <w:sz w:val="18"/>
                <w:szCs w:val="18"/>
              </w:rPr>
              <w:t>mitygowania ryzyka: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 </w:t>
            </w:r>
          </w:p>
          <w:p w14:paraId="4A157D25" w14:textId="77777777" w:rsidR="00932374" w:rsidRPr="00FD701D" w:rsidRDefault="00932374" w:rsidP="00932374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 ścisła współpraca z operatorami oraz wykonawcami,</w:t>
            </w:r>
          </w:p>
          <w:p w14:paraId="356ECD75" w14:textId="77777777" w:rsidR="00932374" w:rsidRPr="00FD701D" w:rsidRDefault="00932374" w:rsidP="00932374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76CCD33F" w14:textId="77777777" w:rsidR="00932374" w:rsidRPr="00FD701D" w:rsidRDefault="00932374" w:rsidP="00932374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lastRenderedPageBreak/>
              <w:t>- częste raportowanie w celu przyspieszenia prac,</w:t>
            </w:r>
          </w:p>
          <w:p w14:paraId="2AD11E9C" w14:textId="77777777" w:rsidR="00932374" w:rsidRPr="00FD701D" w:rsidRDefault="00932374" w:rsidP="00932374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6F08CE2F" w14:textId="77777777" w:rsidR="00932374" w:rsidRPr="002D2BA9" w:rsidRDefault="00932374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  <w:p w14:paraId="318DCDCF" w14:textId="281D48AE" w:rsidR="00160ACE" w:rsidRDefault="00160ACE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  <w:p w14:paraId="05BE779C" w14:textId="77777777" w:rsidR="00160ACE" w:rsidRPr="00160ACE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Złożono wniosek o</w:t>
            </w:r>
          </w:p>
          <w:p w14:paraId="76FF4AB9" w14:textId="77777777" w:rsidR="00160ACE" w:rsidRPr="00160ACE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wydłużenie terminu realizacji projektu i</w:t>
            </w:r>
          </w:p>
          <w:p w14:paraId="067A0F52" w14:textId="3AE29E1B" w:rsidR="00160ACE" w:rsidRPr="002D2BA9" w:rsidRDefault="00160ACE" w:rsidP="00160A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  <w:r w:rsidRPr="00160ACE"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  <w:t>kwalifikowalności wydatków do 31.12.2021 roku. W dniu 06.11.2020 podpisano aneks dotyczący ww. obszarów.</w:t>
            </w:r>
          </w:p>
          <w:p w14:paraId="637D004B" w14:textId="4A0CB233" w:rsidR="002D2BA9" w:rsidRPr="002B5AFB" w:rsidRDefault="002D2BA9" w:rsidP="002D2B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Cs/>
                <w:kern w:val="1"/>
                <w:sz w:val="18"/>
                <w:szCs w:val="18"/>
              </w:rPr>
            </w:pPr>
          </w:p>
        </w:tc>
      </w:tr>
    </w:tbl>
    <w:p w14:paraId="775FCF39" w14:textId="7012D9C9" w:rsidR="002B5AFB" w:rsidRDefault="002B5AFB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</w:p>
    <w:p w14:paraId="0A59D211" w14:textId="77777777" w:rsidR="009616A1" w:rsidRDefault="009616A1" w:rsidP="002B5AFB">
      <w:pPr>
        <w:spacing w:before="360"/>
        <w:ind w:left="360"/>
        <w:contextualSpacing/>
        <w:jc w:val="both"/>
        <w:rPr>
          <w:rFonts w:ascii="Arial" w:eastAsiaTheme="majorEastAsia" w:hAnsi="Arial" w:cs="Arial"/>
          <w:b/>
          <w:color w:val="2E74B5" w:themeColor="accent1" w:themeShade="BF"/>
          <w:sz w:val="24"/>
          <w:szCs w:val="24"/>
        </w:rPr>
      </w:pPr>
    </w:p>
    <w:p w14:paraId="31D11A21" w14:textId="62C33F49" w:rsidR="002B5AFB" w:rsidRPr="002B5AFB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eastAsiaTheme="majorEastAsia" w:hAnsi="Arial" w:cs="Arial"/>
          <w:b/>
          <w:sz w:val="24"/>
          <w:szCs w:val="24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>Wymiarowanie systemu informatycznego</w:t>
      </w:r>
    </w:p>
    <w:p w14:paraId="3DE42327" w14:textId="319DB9A4" w:rsidR="002B5AFB" w:rsidRPr="002B5AFB" w:rsidRDefault="002B5AFB" w:rsidP="002B5AF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5AFB">
        <w:rPr>
          <w:rFonts w:ascii="Arial" w:hAnsi="Arial" w:cs="Arial"/>
          <w:sz w:val="18"/>
          <w:szCs w:val="18"/>
        </w:rPr>
        <w:t>N/D</w:t>
      </w:r>
    </w:p>
    <w:p w14:paraId="0AE78CD7" w14:textId="6FA99189" w:rsidR="002B5AFB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7413366" w14:textId="77777777" w:rsidR="002B5AFB" w:rsidRPr="002B5AFB" w:rsidRDefault="002B5AFB" w:rsidP="002B5AF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256DBA" w14:textId="77777777" w:rsidR="002B5AFB" w:rsidRPr="002B5AFB" w:rsidRDefault="002B5AFB" w:rsidP="002B5AFB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</w:rPr>
      </w:pPr>
      <w:r w:rsidRPr="002B5AFB">
        <w:rPr>
          <w:rFonts w:ascii="Arial" w:eastAsiaTheme="majorEastAsia" w:hAnsi="Arial" w:cs="Arial"/>
          <w:b/>
          <w:sz w:val="24"/>
          <w:szCs w:val="24"/>
        </w:rPr>
        <w:t>Dane kontaktowe:</w:t>
      </w:r>
      <w:r w:rsidRPr="002B5AFB">
        <w:rPr>
          <w:rFonts w:ascii="Arial" w:hAnsi="Arial" w:cs="Arial"/>
          <w:b/>
        </w:rPr>
        <w:t xml:space="preserve"> </w:t>
      </w:r>
    </w:p>
    <w:p w14:paraId="19C655C4" w14:textId="77777777" w:rsidR="00D92D8A" w:rsidRPr="00D612EE" w:rsidRDefault="00D92D8A" w:rsidP="00D92D8A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</w:rPr>
      </w:pPr>
      <w:r w:rsidRPr="00D612EE">
        <w:rPr>
          <w:rFonts w:ascii="Arial" w:eastAsia="Times New Roman" w:hAnsi="Arial" w:cs="Arial"/>
          <w:color w:val="000000"/>
        </w:rPr>
        <w:t>Maciej Dudkiewicz</w:t>
      </w:r>
    </w:p>
    <w:p w14:paraId="68D5061C" w14:textId="77777777" w:rsidR="00D92D8A" w:rsidRPr="00D612EE" w:rsidRDefault="00D92D8A" w:rsidP="00D92D8A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</w:rPr>
      </w:pPr>
      <w:r w:rsidRPr="00D612EE">
        <w:rPr>
          <w:rFonts w:ascii="Arial" w:eastAsia="Times New Roman" w:hAnsi="Arial" w:cs="Arial"/>
          <w:color w:val="000000"/>
        </w:rPr>
        <w:t>P.o. Dyrektor ds. Ogólnopolskiej Sieci Edukacyjnej</w:t>
      </w:r>
    </w:p>
    <w:p w14:paraId="4F584C11" w14:textId="77777777" w:rsidR="00D92D8A" w:rsidRPr="00D612EE" w:rsidRDefault="00D92D8A" w:rsidP="00D92D8A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/>
          <w:lang w:val="en-US"/>
        </w:rPr>
      </w:pPr>
      <w:r w:rsidRPr="00D612EE">
        <w:rPr>
          <w:rFonts w:ascii="Arial" w:eastAsia="Times New Roman" w:hAnsi="Arial" w:cs="Arial"/>
          <w:color w:val="000000"/>
          <w:lang w:val="en-US"/>
        </w:rPr>
        <w:t xml:space="preserve">e-mail: maciej.dudkiewicz@nask.pl  </w:t>
      </w:r>
    </w:p>
    <w:p w14:paraId="096B1799" w14:textId="77777777" w:rsidR="00D92D8A" w:rsidRPr="00D92D8A" w:rsidRDefault="00D92D8A" w:rsidP="00D92D8A">
      <w:pPr>
        <w:spacing w:after="0"/>
        <w:ind w:firstLine="360"/>
        <w:jc w:val="both"/>
        <w:rPr>
          <w:rFonts w:ascii="Arial" w:hAnsi="Arial" w:cs="Arial"/>
        </w:rPr>
      </w:pPr>
      <w:r w:rsidRPr="00D612EE">
        <w:rPr>
          <w:rFonts w:ascii="Arial" w:eastAsia="Times New Roman" w:hAnsi="Arial" w:cs="Arial"/>
          <w:color w:val="000000"/>
        </w:rPr>
        <w:t>tel.: +48 787 09 40 05</w:t>
      </w:r>
    </w:p>
    <w:p w14:paraId="26047341" w14:textId="77777777" w:rsidR="008F5B05" w:rsidRPr="00A92887" w:rsidRDefault="008F5B05" w:rsidP="008F5B05">
      <w:pPr>
        <w:spacing w:after="0"/>
        <w:jc w:val="both"/>
        <w:rPr>
          <w:rFonts w:ascii="Arial" w:hAnsi="Arial" w:cs="Arial"/>
        </w:rPr>
      </w:pPr>
    </w:p>
    <w:sectPr w:rsidR="008F5B05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743F73" w14:textId="77777777" w:rsidR="00E76C60" w:rsidRDefault="00E76C60" w:rsidP="00BB2420">
      <w:pPr>
        <w:spacing w:after="0" w:line="240" w:lineRule="auto"/>
      </w:pPr>
      <w:r>
        <w:separator/>
      </w:r>
    </w:p>
  </w:endnote>
  <w:endnote w:type="continuationSeparator" w:id="0">
    <w:p w14:paraId="00C7E4C8" w14:textId="77777777" w:rsidR="00E76C60" w:rsidRDefault="00E76C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A08A9" w14:textId="77777777" w:rsidR="00320945" w:rsidRDefault="00320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A2A3F6B" w14:textId="5E45A2B8" w:rsidR="00D7397A" w:rsidRDefault="00D7397A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1325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0945">
              <w:rPr>
                <w:b/>
                <w:bCs/>
                <w:noProof/>
              </w:rPr>
              <w:t>11</w:t>
            </w:r>
          </w:p>
          <w:p w14:paraId="17EEF4C9" w14:textId="33089B9A" w:rsidR="00D7397A" w:rsidRDefault="00E76C60">
            <w:pPr>
              <w:pStyle w:val="Stopka"/>
              <w:jc w:val="right"/>
            </w:pPr>
          </w:p>
        </w:sdtContent>
      </w:sdt>
    </w:sdtContent>
  </w:sdt>
  <w:p w14:paraId="402AEB21" w14:textId="77777777" w:rsidR="00D7397A" w:rsidRDefault="00D73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6FD11" w14:textId="77777777" w:rsidR="00320945" w:rsidRDefault="00320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7652E" w14:textId="77777777" w:rsidR="00E76C60" w:rsidRDefault="00E76C60" w:rsidP="00BB2420">
      <w:pPr>
        <w:spacing w:after="0" w:line="240" w:lineRule="auto"/>
      </w:pPr>
      <w:r>
        <w:separator/>
      </w:r>
    </w:p>
  </w:footnote>
  <w:footnote w:type="continuationSeparator" w:id="0">
    <w:p w14:paraId="0FB371A7" w14:textId="77777777" w:rsidR="00E76C60" w:rsidRDefault="00E76C60" w:rsidP="00BB2420">
      <w:pPr>
        <w:spacing w:after="0" w:line="240" w:lineRule="auto"/>
      </w:pPr>
      <w:r>
        <w:continuationSeparator/>
      </w:r>
    </w:p>
  </w:footnote>
  <w:footnote w:id="1">
    <w:p w14:paraId="02F589D5" w14:textId="77777777" w:rsidR="00D7397A" w:rsidRDefault="00D7397A" w:rsidP="002C2E3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3B14C" w14:textId="77777777" w:rsidR="00320945" w:rsidRDefault="003209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8C57CC" w14:textId="77777777" w:rsidR="00320945" w:rsidRDefault="003209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8748D" w14:textId="77777777" w:rsidR="00320945" w:rsidRDefault="003209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B737B"/>
    <w:multiLevelType w:val="hybridMultilevel"/>
    <w:tmpl w:val="5ABC5CD6"/>
    <w:lvl w:ilvl="0" w:tplc="869CB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B1899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256034"/>
    <w:multiLevelType w:val="hybridMultilevel"/>
    <w:tmpl w:val="8340CD14"/>
    <w:lvl w:ilvl="0" w:tplc="8774E6F2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1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15A6933"/>
    <w:multiLevelType w:val="hybridMultilevel"/>
    <w:tmpl w:val="87ECE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43E01"/>
    <w:multiLevelType w:val="hybridMultilevel"/>
    <w:tmpl w:val="3B523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935BF7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D1638"/>
    <w:multiLevelType w:val="hybridMultilevel"/>
    <w:tmpl w:val="761C7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FE7F09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B0C4F2A"/>
    <w:multiLevelType w:val="multilevel"/>
    <w:tmpl w:val="84B21C46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440"/>
      </w:pPr>
      <w:rPr>
        <w:rFonts w:hint="default"/>
      </w:rPr>
    </w:lvl>
  </w:abstractNum>
  <w:abstractNum w:abstractNumId="36" w15:restartNumberingAfterBreak="0">
    <w:nsid w:val="7FFD5741"/>
    <w:multiLevelType w:val="hybridMultilevel"/>
    <w:tmpl w:val="3EF48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34"/>
  </w:num>
  <w:num w:numId="4">
    <w:abstractNumId w:val="19"/>
  </w:num>
  <w:num w:numId="5">
    <w:abstractNumId w:val="30"/>
  </w:num>
  <w:num w:numId="6">
    <w:abstractNumId w:val="6"/>
  </w:num>
  <w:num w:numId="7">
    <w:abstractNumId w:val="25"/>
  </w:num>
  <w:num w:numId="8">
    <w:abstractNumId w:val="0"/>
  </w:num>
  <w:num w:numId="9">
    <w:abstractNumId w:val="11"/>
  </w:num>
  <w:num w:numId="10">
    <w:abstractNumId w:val="7"/>
  </w:num>
  <w:num w:numId="11">
    <w:abstractNumId w:val="8"/>
  </w:num>
  <w:num w:numId="12">
    <w:abstractNumId w:val="27"/>
  </w:num>
  <w:num w:numId="13">
    <w:abstractNumId w:val="24"/>
  </w:num>
  <w:num w:numId="14">
    <w:abstractNumId w:val="2"/>
  </w:num>
  <w:num w:numId="15">
    <w:abstractNumId w:val="32"/>
  </w:num>
  <w:num w:numId="16">
    <w:abstractNumId w:val="14"/>
  </w:num>
  <w:num w:numId="17">
    <w:abstractNumId w:val="21"/>
  </w:num>
  <w:num w:numId="18">
    <w:abstractNumId w:val="20"/>
  </w:num>
  <w:num w:numId="19">
    <w:abstractNumId w:val="16"/>
  </w:num>
  <w:num w:numId="20">
    <w:abstractNumId w:val="33"/>
  </w:num>
  <w:num w:numId="21">
    <w:abstractNumId w:val="36"/>
  </w:num>
  <w:num w:numId="22">
    <w:abstractNumId w:val="9"/>
  </w:num>
  <w:num w:numId="23">
    <w:abstractNumId w:val="29"/>
  </w:num>
  <w:num w:numId="24">
    <w:abstractNumId w:val="12"/>
  </w:num>
  <w:num w:numId="25">
    <w:abstractNumId w:val="22"/>
  </w:num>
  <w:num w:numId="26">
    <w:abstractNumId w:val="13"/>
  </w:num>
  <w:num w:numId="27">
    <w:abstractNumId w:val="28"/>
  </w:num>
  <w:num w:numId="28">
    <w:abstractNumId w:val="1"/>
  </w:num>
  <w:num w:numId="29">
    <w:abstractNumId w:val="4"/>
  </w:num>
  <w:num w:numId="30">
    <w:abstractNumId w:val="18"/>
  </w:num>
  <w:num w:numId="31">
    <w:abstractNumId w:val="10"/>
  </w:num>
  <w:num w:numId="32">
    <w:abstractNumId w:val="31"/>
  </w:num>
  <w:num w:numId="33">
    <w:abstractNumId w:val="26"/>
  </w:num>
  <w:num w:numId="34">
    <w:abstractNumId w:val="17"/>
  </w:num>
  <w:num w:numId="35">
    <w:abstractNumId w:val="35"/>
  </w:num>
  <w:num w:numId="36">
    <w:abstractNumId w:val="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0E9B"/>
    <w:rsid w:val="00013EDC"/>
    <w:rsid w:val="00016B90"/>
    <w:rsid w:val="0002091C"/>
    <w:rsid w:val="00020B65"/>
    <w:rsid w:val="000249AA"/>
    <w:rsid w:val="00026AE0"/>
    <w:rsid w:val="00043DD9"/>
    <w:rsid w:val="00044D68"/>
    <w:rsid w:val="00047D9D"/>
    <w:rsid w:val="000617C6"/>
    <w:rsid w:val="0006403E"/>
    <w:rsid w:val="00065122"/>
    <w:rsid w:val="00070663"/>
    <w:rsid w:val="00071880"/>
    <w:rsid w:val="00073D22"/>
    <w:rsid w:val="00081E91"/>
    <w:rsid w:val="00084E5B"/>
    <w:rsid w:val="00087231"/>
    <w:rsid w:val="00091B6E"/>
    <w:rsid w:val="00095944"/>
    <w:rsid w:val="00097162"/>
    <w:rsid w:val="000A1DFB"/>
    <w:rsid w:val="000A2F32"/>
    <w:rsid w:val="000A3938"/>
    <w:rsid w:val="000A5F71"/>
    <w:rsid w:val="000B059E"/>
    <w:rsid w:val="000B3E49"/>
    <w:rsid w:val="000B49EA"/>
    <w:rsid w:val="000B6082"/>
    <w:rsid w:val="000E0060"/>
    <w:rsid w:val="000E1828"/>
    <w:rsid w:val="000E4BF8"/>
    <w:rsid w:val="000F20A9"/>
    <w:rsid w:val="000F307B"/>
    <w:rsid w:val="000F30B9"/>
    <w:rsid w:val="000F4635"/>
    <w:rsid w:val="00106896"/>
    <w:rsid w:val="0011693F"/>
    <w:rsid w:val="0011728E"/>
    <w:rsid w:val="00122388"/>
    <w:rsid w:val="00124C3D"/>
    <w:rsid w:val="001309CA"/>
    <w:rsid w:val="00131F78"/>
    <w:rsid w:val="00141A92"/>
    <w:rsid w:val="001425ED"/>
    <w:rsid w:val="001441D4"/>
    <w:rsid w:val="00145E84"/>
    <w:rsid w:val="00146E6D"/>
    <w:rsid w:val="00147175"/>
    <w:rsid w:val="0015102C"/>
    <w:rsid w:val="00153381"/>
    <w:rsid w:val="0015598C"/>
    <w:rsid w:val="00160ACE"/>
    <w:rsid w:val="00176FBB"/>
    <w:rsid w:val="00181E97"/>
    <w:rsid w:val="00182A08"/>
    <w:rsid w:val="001A2EF2"/>
    <w:rsid w:val="001A6504"/>
    <w:rsid w:val="001B5459"/>
    <w:rsid w:val="001C2D74"/>
    <w:rsid w:val="001C7FAC"/>
    <w:rsid w:val="001D167C"/>
    <w:rsid w:val="001E0CAC"/>
    <w:rsid w:val="001E16A3"/>
    <w:rsid w:val="001E1DEA"/>
    <w:rsid w:val="001E5F65"/>
    <w:rsid w:val="001E7199"/>
    <w:rsid w:val="001F24A0"/>
    <w:rsid w:val="001F67EC"/>
    <w:rsid w:val="0020330A"/>
    <w:rsid w:val="002119A5"/>
    <w:rsid w:val="002134DB"/>
    <w:rsid w:val="00221325"/>
    <w:rsid w:val="002317DB"/>
    <w:rsid w:val="00237279"/>
    <w:rsid w:val="00240D69"/>
    <w:rsid w:val="00241B5E"/>
    <w:rsid w:val="00244DDA"/>
    <w:rsid w:val="00252087"/>
    <w:rsid w:val="00253D18"/>
    <w:rsid w:val="002549D3"/>
    <w:rsid w:val="0026227F"/>
    <w:rsid w:val="00263392"/>
    <w:rsid w:val="00265194"/>
    <w:rsid w:val="002743A3"/>
    <w:rsid w:val="00276C00"/>
    <w:rsid w:val="002825F1"/>
    <w:rsid w:val="00287511"/>
    <w:rsid w:val="002906FA"/>
    <w:rsid w:val="00293351"/>
    <w:rsid w:val="00294349"/>
    <w:rsid w:val="002A3C02"/>
    <w:rsid w:val="002A5452"/>
    <w:rsid w:val="002B0D61"/>
    <w:rsid w:val="002B4889"/>
    <w:rsid w:val="002B50C0"/>
    <w:rsid w:val="002B5AFB"/>
    <w:rsid w:val="002B6F21"/>
    <w:rsid w:val="002C2E33"/>
    <w:rsid w:val="002D20B7"/>
    <w:rsid w:val="002D2BA9"/>
    <w:rsid w:val="002D3D4A"/>
    <w:rsid w:val="002D7ADA"/>
    <w:rsid w:val="002E2FAF"/>
    <w:rsid w:val="002F29A3"/>
    <w:rsid w:val="002F342B"/>
    <w:rsid w:val="0030196F"/>
    <w:rsid w:val="00302775"/>
    <w:rsid w:val="00304D04"/>
    <w:rsid w:val="00310D8E"/>
    <w:rsid w:val="00320945"/>
    <w:rsid w:val="00321737"/>
    <w:rsid w:val="003221F2"/>
    <w:rsid w:val="00322614"/>
    <w:rsid w:val="00323352"/>
    <w:rsid w:val="00334A24"/>
    <w:rsid w:val="0033590A"/>
    <w:rsid w:val="003410FE"/>
    <w:rsid w:val="0034382B"/>
    <w:rsid w:val="003508E7"/>
    <w:rsid w:val="003542F1"/>
    <w:rsid w:val="00356A3E"/>
    <w:rsid w:val="003642B8"/>
    <w:rsid w:val="0037611E"/>
    <w:rsid w:val="0038233E"/>
    <w:rsid w:val="003851AA"/>
    <w:rsid w:val="00392919"/>
    <w:rsid w:val="003A4115"/>
    <w:rsid w:val="003A71D2"/>
    <w:rsid w:val="003B5B7A"/>
    <w:rsid w:val="003C6CED"/>
    <w:rsid w:val="003C7325"/>
    <w:rsid w:val="003D7DD0"/>
    <w:rsid w:val="003E3144"/>
    <w:rsid w:val="003E58E1"/>
    <w:rsid w:val="00405EA4"/>
    <w:rsid w:val="0041034F"/>
    <w:rsid w:val="004118A3"/>
    <w:rsid w:val="00421261"/>
    <w:rsid w:val="00423A26"/>
    <w:rsid w:val="00425046"/>
    <w:rsid w:val="004350B8"/>
    <w:rsid w:val="00444AAB"/>
    <w:rsid w:val="00450089"/>
    <w:rsid w:val="00464BCF"/>
    <w:rsid w:val="00467EC3"/>
    <w:rsid w:val="004729D1"/>
    <w:rsid w:val="004A78D9"/>
    <w:rsid w:val="004C1D48"/>
    <w:rsid w:val="004C2A30"/>
    <w:rsid w:val="004C75F7"/>
    <w:rsid w:val="004D65CA"/>
    <w:rsid w:val="004E08B2"/>
    <w:rsid w:val="004F6E89"/>
    <w:rsid w:val="00504B06"/>
    <w:rsid w:val="005076A1"/>
    <w:rsid w:val="00512F90"/>
    <w:rsid w:val="00513213"/>
    <w:rsid w:val="00513F35"/>
    <w:rsid w:val="00517F12"/>
    <w:rsid w:val="0052102C"/>
    <w:rsid w:val="005212C8"/>
    <w:rsid w:val="00524E6C"/>
    <w:rsid w:val="005332D6"/>
    <w:rsid w:val="00541793"/>
    <w:rsid w:val="00544DFE"/>
    <w:rsid w:val="005513DB"/>
    <w:rsid w:val="0055460F"/>
    <w:rsid w:val="005548F2"/>
    <w:rsid w:val="00567FA6"/>
    <w:rsid w:val="0057115C"/>
    <w:rsid w:val="00571D78"/>
    <w:rsid w:val="005734CE"/>
    <w:rsid w:val="005840AB"/>
    <w:rsid w:val="00586664"/>
    <w:rsid w:val="00593290"/>
    <w:rsid w:val="00596B04"/>
    <w:rsid w:val="005A0E33"/>
    <w:rsid w:val="005A12F7"/>
    <w:rsid w:val="005A1B30"/>
    <w:rsid w:val="005B1A32"/>
    <w:rsid w:val="005C0469"/>
    <w:rsid w:val="005C4BD1"/>
    <w:rsid w:val="005C6116"/>
    <w:rsid w:val="005C77BB"/>
    <w:rsid w:val="005D17CF"/>
    <w:rsid w:val="005D24AF"/>
    <w:rsid w:val="005D5AAB"/>
    <w:rsid w:val="005D6E12"/>
    <w:rsid w:val="005E0ED8"/>
    <w:rsid w:val="005E32AB"/>
    <w:rsid w:val="005E6ABD"/>
    <w:rsid w:val="005F41FA"/>
    <w:rsid w:val="005F6104"/>
    <w:rsid w:val="00600AE4"/>
    <w:rsid w:val="006054AA"/>
    <w:rsid w:val="0062054D"/>
    <w:rsid w:val="0062764E"/>
    <w:rsid w:val="006334BF"/>
    <w:rsid w:val="00635A54"/>
    <w:rsid w:val="00641716"/>
    <w:rsid w:val="0064359C"/>
    <w:rsid w:val="00661A62"/>
    <w:rsid w:val="00670392"/>
    <w:rsid w:val="0067049F"/>
    <w:rsid w:val="006731D9"/>
    <w:rsid w:val="006822BC"/>
    <w:rsid w:val="006948D3"/>
    <w:rsid w:val="006A49A4"/>
    <w:rsid w:val="006A5FBA"/>
    <w:rsid w:val="006A60AA"/>
    <w:rsid w:val="006A73DB"/>
    <w:rsid w:val="006B034F"/>
    <w:rsid w:val="006B5117"/>
    <w:rsid w:val="006C0AA0"/>
    <w:rsid w:val="006C3C94"/>
    <w:rsid w:val="006C4609"/>
    <w:rsid w:val="006C4651"/>
    <w:rsid w:val="006C78AE"/>
    <w:rsid w:val="006D2E35"/>
    <w:rsid w:val="006D6047"/>
    <w:rsid w:val="006E055A"/>
    <w:rsid w:val="006E0CFA"/>
    <w:rsid w:val="006E6205"/>
    <w:rsid w:val="006F5ACF"/>
    <w:rsid w:val="00701800"/>
    <w:rsid w:val="0070252C"/>
    <w:rsid w:val="00724F0E"/>
    <w:rsid w:val="00725708"/>
    <w:rsid w:val="007311CF"/>
    <w:rsid w:val="00740A47"/>
    <w:rsid w:val="00746ABD"/>
    <w:rsid w:val="007526EC"/>
    <w:rsid w:val="00753AB6"/>
    <w:rsid w:val="007552A3"/>
    <w:rsid w:val="0077418F"/>
    <w:rsid w:val="007754CE"/>
    <w:rsid w:val="00775C44"/>
    <w:rsid w:val="00776802"/>
    <w:rsid w:val="0078594B"/>
    <w:rsid w:val="007924CE"/>
    <w:rsid w:val="00795AFA"/>
    <w:rsid w:val="00795FC6"/>
    <w:rsid w:val="007A4742"/>
    <w:rsid w:val="007B0251"/>
    <w:rsid w:val="007C2F7E"/>
    <w:rsid w:val="007C6235"/>
    <w:rsid w:val="007C70D1"/>
    <w:rsid w:val="007C778E"/>
    <w:rsid w:val="007D1990"/>
    <w:rsid w:val="007D2C34"/>
    <w:rsid w:val="007D38BD"/>
    <w:rsid w:val="007D3F21"/>
    <w:rsid w:val="007D7718"/>
    <w:rsid w:val="007E341A"/>
    <w:rsid w:val="007E6691"/>
    <w:rsid w:val="007E7BC0"/>
    <w:rsid w:val="007F126F"/>
    <w:rsid w:val="007F1B19"/>
    <w:rsid w:val="007F6CE8"/>
    <w:rsid w:val="007F72EA"/>
    <w:rsid w:val="00803FBE"/>
    <w:rsid w:val="00805178"/>
    <w:rsid w:val="00806134"/>
    <w:rsid w:val="008270EE"/>
    <w:rsid w:val="00830B70"/>
    <w:rsid w:val="00840749"/>
    <w:rsid w:val="008409E4"/>
    <w:rsid w:val="008479FB"/>
    <w:rsid w:val="00847DC8"/>
    <w:rsid w:val="0085456A"/>
    <w:rsid w:val="008620B2"/>
    <w:rsid w:val="0087452F"/>
    <w:rsid w:val="00875528"/>
    <w:rsid w:val="00876042"/>
    <w:rsid w:val="00884686"/>
    <w:rsid w:val="008A332F"/>
    <w:rsid w:val="008A52F6"/>
    <w:rsid w:val="008B7933"/>
    <w:rsid w:val="008C4BCD"/>
    <w:rsid w:val="008C6721"/>
    <w:rsid w:val="008D3826"/>
    <w:rsid w:val="008D6316"/>
    <w:rsid w:val="008E2920"/>
    <w:rsid w:val="008F2D9B"/>
    <w:rsid w:val="008F5B05"/>
    <w:rsid w:val="008F67EE"/>
    <w:rsid w:val="009034BF"/>
    <w:rsid w:val="00907093"/>
    <w:rsid w:val="00907F6D"/>
    <w:rsid w:val="009110D2"/>
    <w:rsid w:val="00911190"/>
    <w:rsid w:val="0091332C"/>
    <w:rsid w:val="00920922"/>
    <w:rsid w:val="00925647"/>
    <w:rsid w:val="009256F2"/>
    <w:rsid w:val="00932374"/>
    <w:rsid w:val="00933BEC"/>
    <w:rsid w:val="009347B8"/>
    <w:rsid w:val="00936729"/>
    <w:rsid w:val="00936837"/>
    <w:rsid w:val="0095183B"/>
    <w:rsid w:val="00952126"/>
    <w:rsid w:val="00952617"/>
    <w:rsid w:val="009569BD"/>
    <w:rsid w:val="009616A1"/>
    <w:rsid w:val="0096439F"/>
    <w:rsid w:val="009663A6"/>
    <w:rsid w:val="009700FC"/>
    <w:rsid w:val="00971A40"/>
    <w:rsid w:val="00975085"/>
    <w:rsid w:val="00976434"/>
    <w:rsid w:val="0098024D"/>
    <w:rsid w:val="00992EA3"/>
    <w:rsid w:val="009967CA"/>
    <w:rsid w:val="009A17FF"/>
    <w:rsid w:val="009A5972"/>
    <w:rsid w:val="009B414C"/>
    <w:rsid w:val="009B4423"/>
    <w:rsid w:val="009C231F"/>
    <w:rsid w:val="009C6140"/>
    <w:rsid w:val="009D2FA4"/>
    <w:rsid w:val="009D7D8A"/>
    <w:rsid w:val="009E4C67"/>
    <w:rsid w:val="009F09BF"/>
    <w:rsid w:val="009F1DC8"/>
    <w:rsid w:val="009F437E"/>
    <w:rsid w:val="00A11788"/>
    <w:rsid w:val="00A134E6"/>
    <w:rsid w:val="00A30847"/>
    <w:rsid w:val="00A32586"/>
    <w:rsid w:val="00A36AE2"/>
    <w:rsid w:val="00A43E49"/>
    <w:rsid w:val="00A44EA2"/>
    <w:rsid w:val="00A52A24"/>
    <w:rsid w:val="00A56D63"/>
    <w:rsid w:val="00A56DA2"/>
    <w:rsid w:val="00A672B4"/>
    <w:rsid w:val="00A67685"/>
    <w:rsid w:val="00A728AE"/>
    <w:rsid w:val="00A74BB8"/>
    <w:rsid w:val="00A75F20"/>
    <w:rsid w:val="00A804AE"/>
    <w:rsid w:val="00A82763"/>
    <w:rsid w:val="00A86449"/>
    <w:rsid w:val="00A87C1C"/>
    <w:rsid w:val="00A9015C"/>
    <w:rsid w:val="00A92887"/>
    <w:rsid w:val="00A97F30"/>
    <w:rsid w:val="00AA28B6"/>
    <w:rsid w:val="00AA4CAB"/>
    <w:rsid w:val="00AA51AD"/>
    <w:rsid w:val="00AA6B3C"/>
    <w:rsid w:val="00AA730D"/>
    <w:rsid w:val="00AB2E01"/>
    <w:rsid w:val="00AB473A"/>
    <w:rsid w:val="00AC7E26"/>
    <w:rsid w:val="00AD45BB"/>
    <w:rsid w:val="00AD4A37"/>
    <w:rsid w:val="00AD5A40"/>
    <w:rsid w:val="00AE1643"/>
    <w:rsid w:val="00AE3A6C"/>
    <w:rsid w:val="00AF09B8"/>
    <w:rsid w:val="00AF3EC0"/>
    <w:rsid w:val="00AF567D"/>
    <w:rsid w:val="00B17709"/>
    <w:rsid w:val="00B23828"/>
    <w:rsid w:val="00B27EE9"/>
    <w:rsid w:val="00B33799"/>
    <w:rsid w:val="00B41415"/>
    <w:rsid w:val="00B440C3"/>
    <w:rsid w:val="00B45EE4"/>
    <w:rsid w:val="00B46B7D"/>
    <w:rsid w:val="00B50560"/>
    <w:rsid w:val="00B5532F"/>
    <w:rsid w:val="00B64B3C"/>
    <w:rsid w:val="00B666F3"/>
    <w:rsid w:val="00B673C6"/>
    <w:rsid w:val="00B74859"/>
    <w:rsid w:val="00B85668"/>
    <w:rsid w:val="00B87D3D"/>
    <w:rsid w:val="00B91243"/>
    <w:rsid w:val="00BA481C"/>
    <w:rsid w:val="00BB059E"/>
    <w:rsid w:val="00BB18FD"/>
    <w:rsid w:val="00BB1C41"/>
    <w:rsid w:val="00BB2420"/>
    <w:rsid w:val="00BB49AC"/>
    <w:rsid w:val="00BB5ACE"/>
    <w:rsid w:val="00BB78E8"/>
    <w:rsid w:val="00BC1BD2"/>
    <w:rsid w:val="00BC46D1"/>
    <w:rsid w:val="00BC6BE4"/>
    <w:rsid w:val="00BE47CD"/>
    <w:rsid w:val="00BE5BF9"/>
    <w:rsid w:val="00C1106C"/>
    <w:rsid w:val="00C26361"/>
    <w:rsid w:val="00C302F1"/>
    <w:rsid w:val="00C3575F"/>
    <w:rsid w:val="00C4231D"/>
    <w:rsid w:val="00C42AEA"/>
    <w:rsid w:val="00C51E00"/>
    <w:rsid w:val="00C57985"/>
    <w:rsid w:val="00C6751B"/>
    <w:rsid w:val="00C857FB"/>
    <w:rsid w:val="00CA516B"/>
    <w:rsid w:val="00CB6209"/>
    <w:rsid w:val="00CC3AB0"/>
    <w:rsid w:val="00CC7E21"/>
    <w:rsid w:val="00CD7A02"/>
    <w:rsid w:val="00CE74F9"/>
    <w:rsid w:val="00CE7777"/>
    <w:rsid w:val="00CF2E64"/>
    <w:rsid w:val="00CF34F2"/>
    <w:rsid w:val="00D02F6D"/>
    <w:rsid w:val="00D04200"/>
    <w:rsid w:val="00D213E5"/>
    <w:rsid w:val="00D22C21"/>
    <w:rsid w:val="00D25CFE"/>
    <w:rsid w:val="00D4607F"/>
    <w:rsid w:val="00D52ED5"/>
    <w:rsid w:val="00D57025"/>
    <w:rsid w:val="00D57765"/>
    <w:rsid w:val="00D612EE"/>
    <w:rsid w:val="00D6262B"/>
    <w:rsid w:val="00D71D09"/>
    <w:rsid w:val="00D72EE3"/>
    <w:rsid w:val="00D7397A"/>
    <w:rsid w:val="00D77F50"/>
    <w:rsid w:val="00D859F4"/>
    <w:rsid w:val="00D85A52"/>
    <w:rsid w:val="00D85D35"/>
    <w:rsid w:val="00D86FEC"/>
    <w:rsid w:val="00D92D8A"/>
    <w:rsid w:val="00D97321"/>
    <w:rsid w:val="00DA34DF"/>
    <w:rsid w:val="00DB3829"/>
    <w:rsid w:val="00DB69FD"/>
    <w:rsid w:val="00DC0A8A"/>
    <w:rsid w:val="00DC1705"/>
    <w:rsid w:val="00DC39A9"/>
    <w:rsid w:val="00DC4C79"/>
    <w:rsid w:val="00DE03F5"/>
    <w:rsid w:val="00DE6249"/>
    <w:rsid w:val="00DE731D"/>
    <w:rsid w:val="00E003FB"/>
    <w:rsid w:val="00E0076D"/>
    <w:rsid w:val="00E03804"/>
    <w:rsid w:val="00E03B34"/>
    <w:rsid w:val="00E0449D"/>
    <w:rsid w:val="00E11B44"/>
    <w:rsid w:val="00E15DEB"/>
    <w:rsid w:val="00E1688D"/>
    <w:rsid w:val="00E203EB"/>
    <w:rsid w:val="00E2281E"/>
    <w:rsid w:val="00E35401"/>
    <w:rsid w:val="00E36F62"/>
    <w:rsid w:val="00E375DB"/>
    <w:rsid w:val="00E42938"/>
    <w:rsid w:val="00E44B0C"/>
    <w:rsid w:val="00E47508"/>
    <w:rsid w:val="00E55EB0"/>
    <w:rsid w:val="00E57BB7"/>
    <w:rsid w:val="00E615AD"/>
    <w:rsid w:val="00E61CB0"/>
    <w:rsid w:val="00E71256"/>
    <w:rsid w:val="00E71BCF"/>
    <w:rsid w:val="00E729B8"/>
    <w:rsid w:val="00E76C60"/>
    <w:rsid w:val="00E81D7C"/>
    <w:rsid w:val="00E8361B"/>
    <w:rsid w:val="00E83FA4"/>
    <w:rsid w:val="00E86020"/>
    <w:rsid w:val="00E96CB7"/>
    <w:rsid w:val="00EA0B4F"/>
    <w:rsid w:val="00EA7A0F"/>
    <w:rsid w:val="00EB00AB"/>
    <w:rsid w:val="00EC19C0"/>
    <w:rsid w:val="00EC2AFC"/>
    <w:rsid w:val="00ED772E"/>
    <w:rsid w:val="00F11A4F"/>
    <w:rsid w:val="00F138F7"/>
    <w:rsid w:val="00F17B97"/>
    <w:rsid w:val="00F2008A"/>
    <w:rsid w:val="00F21D9E"/>
    <w:rsid w:val="00F25348"/>
    <w:rsid w:val="00F302AE"/>
    <w:rsid w:val="00F45506"/>
    <w:rsid w:val="00F56931"/>
    <w:rsid w:val="00F60062"/>
    <w:rsid w:val="00F613CC"/>
    <w:rsid w:val="00F63A67"/>
    <w:rsid w:val="00F76777"/>
    <w:rsid w:val="00F83F2F"/>
    <w:rsid w:val="00F86555"/>
    <w:rsid w:val="00F86C58"/>
    <w:rsid w:val="00F928C1"/>
    <w:rsid w:val="00FC20B1"/>
    <w:rsid w:val="00FC30C7"/>
    <w:rsid w:val="00FC3B03"/>
    <w:rsid w:val="00FD02ED"/>
    <w:rsid w:val="00FD2D71"/>
    <w:rsid w:val="00FD5B27"/>
    <w:rsid w:val="00FD5CE3"/>
    <w:rsid w:val="00FE3E6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6151-3250-4522-9E3D-7B894225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2065</Words>
  <Characters>12390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2021-07-12T11:23:00Z</dcterms:created>
  <dcterms:modified xsi:type="dcterms:W3CDTF">2021-07-12T12:23:00Z</dcterms:modified>
</cp:coreProperties>
</file>